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1F61" w14:textId="50A888A8" w:rsidR="00EC62E8" w:rsidRPr="0041518B" w:rsidRDefault="00EC62E8" w:rsidP="00EC62E8">
      <w:pPr>
        <w:jc w:val="center"/>
        <w:rPr>
          <w:rFonts w:ascii="Cambria" w:hAnsi="Cambria"/>
          <w:bCs/>
        </w:rPr>
      </w:pPr>
      <w:r w:rsidRPr="0041518B">
        <w:rPr>
          <w:rFonts w:ascii="Cambria" w:hAnsi="Cambria"/>
          <w:bCs/>
        </w:rPr>
        <w:t xml:space="preserve">California Energy Efficiency Coordinating Committee-Hosted </w:t>
      </w:r>
      <w:r w:rsidR="00B84ADB">
        <w:rPr>
          <w:rFonts w:ascii="Cambria" w:hAnsi="Cambria"/>
          <w:bCs/>
        </w:rPr>
        <w:t>Market Transformation</w:t>
      </w:r>
      <w:r>
        <w:rPr>
          <w:rFonts w:ascii="Cambria" w:hAnsi="Cambria"/>
          <w:bCs/>
        </w:rPr>
        <w:t xml:space="preserve"> </w:t>
      </w:r>
      <w:r w:rsidRPr="0041518B">
        <w:rPr>
          <w:rFonts w:ascii="Cambria" w:hAnsi="Cambria"/>
          <w:bCs/>
        </w:rPr>
        <w:t>Working Group</w:t>
      </w:r>
      <w:r w:rsidR="00B84ADB">
        <w:rPr>
          <w:rFonts w:ascii="Cambria" w:hAnsi="Cambria"/>
          <w:bCs/>
        </w:rPr>
        <w:t xml:space="preserve"> – Part II</w:t>
      </w:r>
    </w:p>
    <w:p w14:paraId="35DCB42A" w14:textId="18B87736" w:rsidR="00EC62E8" w:rsidRDefault="00B84ADB" w:rsidP="00EC62E8">
      <w:pPr>
        <w:jc w:val="center"/>
        <w:rPr>
          <w:rFonts w:ascii="Cambria" w:hAnsi="Cambria"/>
          <w:bCs/>
        </w:rPr>
      </w:pPr>
      <w:r>
        <w:rPr>
          <w:rFonts w:ascii="Cambria" w:hAnsi="Cambria"/>
          <w:bCs/>
        </w:rPr>
        <w:t>August 11</w:t>
      </w:r>
      <w:r w:rsidR="00EC62E8" w:rsidRPr="0041518B">
        <w:rPr>
          <w:rFonts w:ascii="Cambria" w:hAnsi="Cambria"/>
          <w:bCs/>
        </w:rPr>
        <w:t xml:space="preserve">, 2020 </w:t>
      </w:r>
      <w:r w:rsidR="00EC62E8">
        <w:rPr>
          <w:rFonts w:ascii="Cambria" w:hAnsi="Cambria"/>
          <w:bCs/>
        </w:rPr>
        <w:t>12</w:t>
      </w:r>
      <w:r>
        <w:rPr>
          <w:rFonts w:ascii="Cambria" w:hAnsi="Cambria"/>
          <w:bCs/>
        </w:rPr>
        <w:t>-3:</w:t>
      </w:r>
      <w:r w:rsidR="00BC52AE">
        <w:rPr>
          <w:rFonts w:ascii="Cambria" w:hAnsi="Cambria"/>
          <w:bCs/>
        </w:rPr>
        <w:t>0</w:t>
      </w:r>
      <w:r>
        <w:rPr>
          <w:rFonts w:ascii="Cambria" w:hAnsi="Cambria"/>
          <w:bCs/>
        </w:rPr>
        <w:t xml:space="preserve">0 </w:t>
      </w:r>
      <w:r w:rsidR="00EC62E8">
        <w:rPr>
          <w:rFonts w:ascii="Cambria" w:hAnsi="Cambria"/>
          <w:bCs/>
        </w:rPr>
        <w:t>pm</w:t>
      </w:r>
    </w:p>
    <w:p w14:paraId="76E12F8D" w14:textId="243FB046" w:rsidR="00EC62E8" w:rsidRPr="0041518B" w:rsidRDefault="00EC62E8" w:rsidP="00EC62E8">
      <w:pPr>
        <w:jc w:val="center"/>
        <w:rPr>
          <w:rFonts w:ascii="Cambria" w:hAnsi="Cambria"/>
          <w:bCs/>
        </w:rPr>
      </w:pPr>
      <w:r>
        <w:rPr>
          <w:rFonts w:ascii="Cambria" w:hAnsi="Cambria"/>
          <w:bCs/>
        </w:rPr>
        <w:t>WebEx-Based Meeting</w:t>
      </w:r>
    </w:p>
    <w:p w14:paraId="4F517A05" w14:textId="77777777" w:rsidR="00EC62E8" w:rsidRPr="0041518B" w:rsidRDefault="00EC62E8" w:rsidP="00EC62E8">
      <w:pPr>
        <w:jc w:val="center"/>
        <w:rPr>
          <w:rFonts w:ascii="Cambria" w:hAnsi="Cambria"/>
          <w:bCs/>
        </w:rPr>
      </w:pPr>
      <w:r w:rsidRPr="0041518B">
        <w:rPr>
          <w:rFonts w:ascii="Cambria" w:hAnsi="Cambria"/>
          <w:bCs/>
        </w:rPr>
        <w:t>Draft Meeting Summary</w:t>
      </w:r>
    </w:p>
    <w:p w14:paraId="03C30031" w14:textId="2269DC06" w:rsidR="00EC62E8" w:rsidRPr="0041518B" w:rsidRDefault="00EC62E8" w:rsidP="00EC62E8">
      <w:pPr>
        <w:widowControl w:val="0"/>
        <w:pBdr>
          <w:bottom w:val="thickThinSmallGap" w:sz="24" w:space="1" w:color="C45911" w:themeColor="accent2" w:themeShade="BF"/>
        </w:pBdr>
        <w:autoSpaceDE w:val="0"/>
        <w:autoSpaceDN w:val="0"/>
        <w:adjustRightInd w:val="0"/>
        <w:jc w:val="center"/>
        <w:rPr>
          <w:rFonts w:ascii="Cambria" w:hAnsi="Cambria"/>
        </w:rPr>
      </w:pPr>
      <w:r w:rsidRPr="0041518B">
        <w:rPr>
          <w:rFonts w:ascii="Cambria" w:hAnsi="Cambria"/>
        </w:rPr>
        <w:t xml:space="preserve">Facilitators: Dr. </w:t>
      </w:r>
      <w:r w:rsidR="00B84ADB">
        <w:rPr>
          <w:rFonts w:ascii="Cambria" w:hAnsi="Cambria"/>
        </w:rPr>
        <w:t xml:space="preserve">Jonathan </w:t>
      </w:r>
      <w:proofErr w:type="spellStart"/>
      <w:r w:rsidR="00B84ADB">
        <w:rPr>
          <w:rFonts w:ascii="Cambria" w:hAnsi="Cambria"/>
        </w:rPr>
        <w:t>Raab</w:t>
      </w:r>
      <w:proofErr w:type="spellEnd"/>
      <w:r w:rsidR="00B84ADB">
        <w:rPr>
          <w:rFonts w:ascii="Cambria" w:hAnsi="Cambria"/>
        </w:rPr>
        <w:t xml:space="preserve"> </w:t>
      </w:r>
      <w:r w:rsidRPr="0041518B">
        <w:rPr>
          <w:rFonts w:ascii="Cambria" w:hAnsi="Cambria"/>
        </w:rPr>
        <w:t>&amp; Meredith Cowart</w:t>
      </w:r>
    </w:p>
    <w:p w14:paraId="1D598A22" w14:textId="5254F219" w:rsidR="00393CF3" w:rsidRDefault="00393CF3"/>
    <w:p w14:paraId="51489C37" w14:textId="2AB42ECB" w:rsidR="00EC62E8" w:rsidRPr="0041518B" w:rsidRDefault="00EC62E8" w:rsidP="00EC62E8">
      <w:pPr>
        <w:widowControl w:val="0"/>
        <w:autoSpaceDE w:val="0"/>
        <w:autoSpaceDN w:val="0"/>
        <w:adjustRightInd w:val="0"/>
        <w:rPr>
          <w:rFonts w:ascii="Cambria" w:hAnsi="Cambria"/>
        </w:rPr>
      </w:pPr>
      <w:r w:rsidRPr="0041518B">
        <w:rPr>
          <w:rFonts w:ascii="Cambria" w:hAnsi="Cambria"/>
        </w:rPr>
        <w:t xml:space="preserve">On </w:t>
      </w:r>
      <w:r w:rsidR="00B84ADB">
        <w:rPr>
          <w:rFonts w:ascii="Cambria" w:hAnsi="Cambria"/>
        </w:rPr>
        <w:t>August 11</w:t>
      </w:r>
      <w:r w:rsidRPr="0041518B">
        <w:rPr>
          <w:rFonts w:ascii="Cambria" w:hAnsi="Cambria"/>
        </w:rPr>
        <w:t xml:space="preserve">, 2020, the CAEECC hosted </w:t>
      </w:r>
      <w:r>
        <w:rPr>
          <w:rFonts w:ascii="Cambria" w:hAnsi="Cambria"/>
        </w:rPr>
        <w:t xml:space="preserve">the </w:t>
      </w:r>
      <w:r w:rsidR="00B84ADB">
        <w:rPr>
          <w:rFonts w:ascii="Cambria" w:hAnsi="Cambria"/>
        </w:rPr>
        <w:t>launch</w:t>
      </w:r>
      <w:r>
        <w:rPr>
          <w:rFonts w:ascii="Cambria" w:hAnsi="Cambria"/>
        </w:rPr>
        <w:t xml:space="preserve"> meeting of the </w:t>
      </w:r>
      <w:r w:rsidR="00B84ADB">
        <w:rPr>
          <w:rFonts w:ascii="Cambria" w:hAnsi="Cambria"/>
        </w:rPr>
        <w:t>Market Transformation</w:t>
      </w:r>
      <w:r w:rsidRPr="0041518B">
        <w:rPr>
          <w:rFonts w:ascii="Cambria" w:hAnsi="Cambria"/>
        </w:rPr>
        <w:t xml:space="preserve"> Working Group </w:t>
      </w:r>
      <w:r w:rsidR="00B84ADB">
        <w:rPr>
          <w:rFonts w:ascii="Cambria" w:hAnsi="Cambria"/>
        </w:rPr>
        <w:t xml:space="preserve">Part II </w:t>
      </w:r>
      <w:r w:rsidR="00FD49D9">
        <w:rPr>
          <w:rFonts w:ascii="Cambria" w:hAnsi="Cambria"/>
        </w:rPr>
        <w:t>(</w:t>
      </w:r>
      <w:r w:rsidR="00B84ADB">
        <w:rPr>
          <w:rFonts w:ascii="Cambria" w:hAnsi="Cambria"/>
        </w:rPr>
        <w:t>MT</w:t>
      </w:r>
      <w:r w:rsidR="00DA1D5E">
        <w:rPr>
          <w:rFonts w:ascii="Cambria" w:hAnsi="Cambria"/>
        </w:rPr>
        <w:t>WG</w:t>
      </w:r>
      <w:r w:rsidR="00FD49D9">
        <w:rPr>
          <w:rFonts w:ascii="Cambria" w:hAnsi="Cambria"/>
        </w:rPr>
        <w:t xml:space="preserve">) </w:t>
      </w:r>
      <w:r>
        <w:rPr>
          <w:rFonts w:ascii="Cambria" w:hAnsi="Cambria"/>
        </w:rPr>
        <w:t>via WebEx</w:t>
      </w:r>
      <w:r w:rsidRPr="004808B5">
        <w:rPr>
          <w:rFonts w:ascii="Cambria" w:hAnsi="Cambria"/>
        </w:rPr>
        <w:t>. T</w:t>
      </w:r>
      <w:r w:rsidR="004808B5" w:rsidRPr="004808B5">
        <w:rPr>
          <w:rFonts w:ascii="Cambria" w:hAnsi="Cambria"/>
        </w:rPr>
        <w:t>hirty MT</w:t>
      </w:r>
      <w:r w:rsidRPr="004808B5">
        <w:rPr>
          <w:rFonts w:ascii="Cambria" w:hAnsi="Cambria"/>
        </w:rPr>
        <w:t>WG Members (including Lead</w:t>
      </w:r>
      <w:r w:rsidR="000A7C4E" w:rsidRPr="004808B5">
        <w:rPr>
          <w:rFonts w:ascii="Cambria" w:hAnsi="Cambria"/>
        </w:rPr>
        <w:t>s, Proxies</w:t>
      </w:r>
      <w:r w:rsidR="00B93358" w:rsidRPr="004808B5">
        <w:rPr>
          <w:rFonts w:ascii="Cambria" w:hAnsi="Cambria"/>
        </w:rPr>
        <w:t xml:space="preserve"> and</w:t>
      </w:r>
      <w:r w:rsidRPr="004808B5">
        <w:rPr>
          <w:rFonts w:ascii="Cambria" w:hAnsi="Cambria"/>
        </w:rPr>
        <w:t xml:space="preserve"> Ex Offici</w:t>
      </w:r>
      <w:r w:rsidR="00B93358" w:rsidRPr="004808B5">
        <w:rPr>
          <w:rFonts w:ascii="Cambria" w:hAnsi="Cambria"/>
        </w:rPr>
        <w:t>o</w:t>
      </w:r>
      <w:r w:rsidRPr="004808B5">
        <w:rPr>
          <w:rFonts w:ascii="Cambria" w:hAnsi="Cambria"/>
        </w:rPr>
        <w:t xml:space="preserve">) participated </w:t>
      </w:r>
      <w:r w:rsidR="00B93358" w:rsidRPr="004808B5">
        <w:rPr>
          <w:rFonts w:ascii="Cambria" w:hAnsi="Cambria"/>
        </w:rPr>
        <w:t>in the meeting</w:t>
      </w:r>
      <w:r w:rsidR="00B93358" w:rsidRPr="00B93358">
        <w:rPr>
          <w:rFonts w:ascii="Cambria" w:hAnsi="Cambria"/>
        </w:rPr>
        <w:t xml:space="preserve"> as panelists</w:t>
      </w:r>
      <w:r w:rsidRPr="00B93358">
        <w:rPr>
          <w:rFonts w:ascii="Cambria" w:hAnsi="Cambria"/>
        </w:rPr>
        <w:t>. Approxim</w:t>
      </w:r>
      <w:r w:rsidRPr="004808B5">
        <w:rPr>
          <w:rFonts w:ascii="Cambria" w:hAnsi="Cambria"/>
        </w:rPr>
        <w:t xml:space="preserve">ately </w:t>
      </w:r>
      <w:r w:rsidR="00652CE7" w:rsidRPr="004808B5">
        <w:rPr>
          <w:rFonts w:ascii="Cambria" w:hAnsi="Cambria"/>
        </w:rPr>
        <w:t>2</w:t>
      </w:r>
      <w:r w:rsidR="004808B5" w:rsidRPr="004808B5">
        <w:rPr>
          <w:rFonts w:ascii="Cambria" w:hAnsi="Cambria"/>
        </w:rPr>
        <w:t>7</w:t>
      </w:r>
      <w:r w:rsidRPr="004808B5">
        <w:rPr>
          <w:rFonts w:ascii="Cambria" w:hAnsi="Cambria"/>
        </w:rPr>
        <w:t xml:space="preserve"> additional members of the public participate</w:t>
      </w:r>
      <w:r w:rsidR="00B93358" w:rsidRPr="004808B5">
        <w:rPr>
          <w:rFonts w:ascii="Cambria" w:hAnsi="Cambria"/>
        </w:rPr>
        <w:t>d as attendees</w:t>
      </w:r>
      <w:r w:rsidRPr="004808B5">
        <w:rPr>
          <w:rFonts w:ascii="Cambria" w:hAnsi="Cambria"/>
        </w:rPr>
        <w:t>. A full list of</w:t>
      </w:r>
      <w:r w:rsidRPr="00652CE7">
        <w:rPr>
          <w:rFonts w:ascii="Cambria" w:hAnsi="Cambria"/>
        </w:rPr>
        <w:t xml:space="preserve"> meeting registrants is provided in Appendix A.</w:t>
      </w:r>
      <w:r w:rsidRPr="0041518B">
        <w:rPr>
          <w:rFonts w:ascii="Cambria" w:hAnsi="Cambria"/>
        </w:rPr>
        <w:t xml:space="preserve"> </w:t>
      </w:r>
    </w:p>
    <w:p w14:paraId="699DC504" w14:textId="77777777" w:rsidR="00EC62E8" w:rsidRPr="0041518B" w:rsidRDefault="00EC62E8" w:rsidP="00EC62E8">
      <w:pPr>
        <w:widowControl w:val="0"/>
        <w:autoSpaceDE w:val="0"/>
        <w:autoSpaceDN w:val="0"/>
        <w:adjustRightInd w:val="0"/>
        <w:rPr>
          <w:rFonts w:ascii="Cambria" w:hAnsi="Cambria"/>
        </w:rPr>
      </w:pPr>
    </w:p>
    <w:p w14:paraId="70BBCA39" w14:textId="0412B2D7" w:rsidR="00EC62E8" w:rsidRDefault="00EC62E8" w:rsidP="00EC62E8">
      <w:pPr>
        <w:rPr>
          <w:rFonts w:ascii="Cambria" w:hAnsi="Cambria"/>
        </w:rPr>
      </w:pPr>
      <w:r w:rsidRPr="0041518B">
        <w:rPr>
          <w:rFonts w:ascii="Cambria" w:hAnsi="Cambria"/>
        </w:rPr>
        <w:t>Meeting materials are provided on the CAEECC website at</w:t>
      </w:r>
      <w:r w:rsidRPr="008C7A5F">
        <w:rPr>
          <w:rFonts w:ascii="Cambria" w:hAnsi="Cambria"/>
        </w:rPr>
        <w:t xml:space="preserve">: </w:t>
      </w:r>
      <w:hyperlink r:id="rId7" w:history="1">
        <w:r w:rsidR="008C7A5F" w:rsidRPr="008C7A5F">
          <w:rPr>
            <w:rStyle w:val="Hyperlink"/>
            <w:rFonts w:ascii="Cambria" w:hAnsi="Cambria"/>
          </w:rPr>
          <w:t>https://www.caeecc.org/mtwg-tbd</w:t>
        </w:r>
      </w:hyperlink>
      <w:r w:rsidR="008C7A5F">
        <w:rPr>
          <w:rFonts w:ascii="Cambria" w:hAnsi="Cambria"/>
        </w:rPr>
        <w:t>.</w:t>
      </w:r>
    </w:p>
    <w:p w14:paraId="1A031A3F" w14:textId="77777777" w:rsidR="008C7A5F" w:rsidRPr="0041518B" w:rsidRDefault="008C7A5F" w:rsidP="00EC62E8">
      <w:pPr>
        <w:rPr>
          <w:rFonts w:ascii="Cambria" w:hAnsi="Cambria"/>
        </w:rPr>
      </w:pPr>
    </w:p>
    <w:p w14:paraId="6667793A" w14:textId="4F8D0146" w:rsidR="004808B5" w:rsidRPr="00A11A95" w:rsidRDefault="004808B5" w:rsidP="004808B5">
      <w:pPr>
        <w:rPr>
          <w:rFonts w:ascii="Cambria" w:hAnsi="Cambria"/>
        </w:rPr>
      </w:pPr>
      <w:r w:rsidRPr="00A11A95">
        <w:rPr>
          <w:rFonts w:ascii="Cambria" w:hAnsi="Cambria"/>
        </w:rPr>
        <w:t>In this document, the majority of the discussion is captured without attribution. In some cases, the affiliation of the speaker is identified, because their affiliation is relevant to the comment. Presentations are summarized only if the presenter did not use a PowerPoint presentation or if it is not available on the meeting webpages (see link above).</w:t>
      </w:r>
    </w:p>
    <w:p w14:paraId="2AA284DB" w14:textId="77777777" w:rsidR="004808B5" w:rsidRPr="00A11A95" w:rsidRDefault="004808B5" w:rsidP="004808B5">
      <w:pPr>
        <w:rPr>
          <w:rFonts w:ascii="Cambria" w:hAnsi="Cambria"/>
        </w:rPr>
      </w:pPr>
    </w:p>
    <w:p w14:paraId="37CF96C8" w14:textId="77777777" w:rsidR="004808B5" w:rsidRPr="00A11A95" w:rsidRDefault="004808B5" w:rsidP="004808B5">
      <w:pPr>
        <w:rPr>
          <w:rFonts w:ascii="Cambria" w:hAnsi="Cambria"/>
        </w:rPr>
      </w:pPr>
      <w:r w:rsidRPr="00A11A95">
        <w:rPr>
          <w:rFonts w:ascii="Cambria" w:hAnsi="Cambria"/>
        </w:rPr>
        <w:t xml:space="preserve">Following the presentations, key clarifying questions or comments are listed and relevant </w:t>
      </w:r>
      <w:r w:rsidRPr="00A11A95">
        <w:rPr>
          <w:rFonts w:ascii="Cambria" w:hAnsi="Cambria"/>
          <w:i/>
        </w:rPr>
        <w:t>responses to questions</w:t>
      </w:r>
      <w:r w:rsidRPr="00A11A95">
        <w:rPr>
          <w:rFonts w:ascii="Cambria" w:hAnsi="Cambria"/>
        </w:rPr>
        <w:t xml:space="preserve"> are noted in </w:t>
      </w:r>
      <w:r w:rsidRPr="00A11A95">
        <w:rPr>
          <w:rFonts w:ascii="Cambria" w:hAnsi="Cambria"/>
          <w:i/>
        </w:rPr>
        <w:t>italics</w:t>
      </w:r>
      <w:r w:rsidRPr="00A11A95">
        <w:rPr>
          <w:rFonts w:ascii="Cambria" w:hAnsi="Cambria"/>
        </w:rPr>
        <w:t xml:space="preserve">. Where multiple responses were given, these responses are listed as sub-bullets. Public comment, and any responses given, is included following these discussion sections. Next Steps, at the end of this document, list all next steps discussed at the meeting. </w:t>
      </w:r>
    </w:p>
    <w:p w14:paraId="36B41C1C" w14:textId="77777777" w:rsidR="00EC62E8" w:rsidRPr="0041518B" w:rsidRDefault="00EC62E8" w:rsidP="00EC62E8">
      <w:pPr>
        <w:rPr>
          <w:rFonts w:ascii="Cambria" w:hAnsi="Cambria"/>
        </w:rPr>
      </w:pPr>
    </w:p>
    <w:p w14:paraId="12D75905" w14:textId="13577DC2" w:rsidR="00EC62E8" w:rsidRDefault="00EC62E8" w:rsidP="004E4053">
      <w:pPr>
        <w:rPr>
          <w:rFonts w:ascii="Cambria" w:hAnsi="Cambria" w:cs="Times New Roman (Body CS)"/>
          <w:b/>
          <w:smallCaps/>
          <w:sz w:val="26"/>
          <w:szCs w:val="26"/>
        </w:rPr>
      </w:pPr>
      <w:r w:rsidRPr="0041518B">
        <w:rPr>
          <w:rFonts w:ascii="Cambria" w:hAnsi="Cambria" w:cs="Times New Roman (Body CS)"/>
          <w:b/>
          <w:smallCaps/>
          <w:sz w:val="26"/>
          <w:szCs w:val="26"/>
        </w:rPr>
        <w:t xml:space="preserve">Introductions </w:t>
      </w:r>
    </w:p>
    <w:p w14:paraId="6D3D9FBF" w14:textId="55CA07ED" w:rsidR="00B84ADB" w:rsidRDefault="00B84ADB" w:rsidP="00652CE7">
      <w:pPr>
        <w:rPr>
          <w:rFonts w:ascii="Cambria" w:hAnsi="Cambria"/>
        </w:rPr>
      </w:pPr>
      <w:r>
        <w:rPr>
          <w:rFonts w:ascii="Cambria" w:hAnsi="Cambria"/>
        </w:rPr>
        <w:t xml:space="preserve">J. </w:t>
      </w:r>
      <w:proofErr w:type="spellStart"/>
      <w:r>
        <w:rPr>
          <w:rFonts w:ascii="Cambria" w:hAnsi="Cambria"/>
        </w:rPr>
        <w:t>Raab</w:t>
      </w:r>
      <w:proofErr w:type="spellEnd"/>
      <w:r>
        <w:rPr>
          <w:rFonts w:ascii="Cambria" w:hAnsi="Cambria"/>
        </w:rPr>
        <w:t xml:space="preserve"> welcomed participants, reviewed the agenda, provided an overview of WebEx “housekeeping logistics”. J. Raab noted that MTWG is meeting again at the request of the CPUC in order to take a deeper look at a set of issues which were touched on in the MTWG report filed with the CPUC </w:t>
      </w:r>
      <w:r w:rsidR="004808B5">
        <w:rPr>
          <w:rFonts w:ascii="Cambria" w:hAnsi="Cambria"/>
        </w:rPr>
        <w:t>on March 19, 2019</w:t>
      </w:r>
      <w:r w:rsidR="00BC52AE">
        <w:rPr>
          <w:rFonts w:ascii="Cambria" w:hAnsi="Cambria"/>
        </w:rPr>
        <w:t xml:space="preserve"> pertaining to addressing overlap related issues between Market Transformation Initiatives (MTIs) and other energy efficiency efforts</w:t>
      </w:r>
      <w:r>
        <w:rPr>
          <w:rFonts w:ascii="Cambria" w:hAnsi="Cambria"/>
        </w:rPr>
        <w:t xml:space="preserve">. The agenda presentation is available on the meeting webpage (see link above, </w:t>
      </w:r>
      <w:r>
        <w:rPr>
          <w:rFonts w:ascii="Cambria" w:hAnsi="Cambria"/>
          <w:i/>
          <w:iCs/>
        </w:rPr>
        <w:t>MTWG 8-11-20 Agenda (8.10.20)</w:t>
      </w:r>
      <w:r w:rsidRPr="003D6B30">
        <w:rPr>
          <w:rFonts w:ascii="Cambria" w:hAnsi="Cambria"/>
        </w:rPr>
        <w:t xml:space="preserve"> under “</w:t>
      </w:r>
      <w:r>
        <w:rPr>
          <w:rFonts w:ascii="Cambria" w:hAnsi="Cambria"/>
        </w:rPr>
        <w:t>D</w:t>
      </w:r>
      <w:r w:rsidRPr="003D6B30">
        <w:rPr>
          <w:rFonts w:ascii="Cambria" w:hAnsi="Cambria"/>
        </w:rPr>
        <w:t>ocuments Posted Before the Meeting</w:t>
      </w:r>
      <w:r>
        <w:rPr>
          <w:rFonts w:ascii="Cambria" w:hAnsi="Cambria"/>
        </w:rPr>
        <w:t>).</w:t>
      </w:r>
    </w:p>
    <w:p w14:paraId="79D17E85" w14:textId="77777777" w:rsidR="00652CE7" w:rsidRDefault="00652CE7" w:rsidP="004E4053">
      <w:pPr>
        <w:rPr>
          <w:rFonts w:ascii="Cambria" w:hAnsi="Cambria"/>
        </w:rPr>
      </w:pPr>
    </w:p>
    <w:p w14:paraId="4730DB96" w14:textId="0C1181C4" w:rsidR="00596122" w:rsidRDefault="00B84ADB" w:rsidP="004E4053">
      <w:pPr>
        <w:rPr>
          <w:rFonts w:ascii="Cambria" w:hAnsi="Cambria" w:cs="Times New Roman (Body CS)"/>
          <w:b/>
          <w:smallCaps/>
          <w:sz w:val="26"/>
          <w:szCs w:val="26"/>
        </w:rPr>
      </w:pPr>
      <w:r>
        <w:rPr>
          <w:rFonts w:ascii="Cambria" w:hAnsi="Cambria" w:cs="Times New Roman (Body CS)"/>
          <w:b/>
          <w:smallCaps/>
          <w:sz w:val="26"/>
          <w:szCs w:val="26"/>
        </w:rPr>
        <w:t xml:space="preserve">Background and Goals </w:t>
      </w:r>
    </w:p>
    <w:p w14:paraId="377EEDD7" w14:textId="32CC2915" w:rsidR="00B84ADB" w:rsidRDefault="00B84ADB" w:rsidP="004E4053">
      <w:pPr>
        <w:rPr>
          <w:rFonts w:ascii="Cambria" w:hAnsi="Cambria"/>
          <w:i/>
          <w:iCs/>
        </w:rPr>
      </w:pPr>
      <w:r>
        <w:rPr>
          <w:rFonts w:ascii="Cambria" w:hAnsi="Cambria"/>
        </w:rPr>
        <w:t xml:space="preserve">J. </w:t>
      </w:r>
      <w:proofErr w:type="spellStart"/>
      <w:r>
        <w:rPr>
          <w:rFonts w:ascii="Cambria" w:hAnsi="Cambria"/>
        </w:rPr>
        <w:t>Raab</w:t>
      </w:r>
      <w:proofErr w:type="spellEnd"/>
      <w:r>
        <w:rPr>
          <w:rFonts w:ascii="Cambria" w:hAnsi="Cambria"/>
        </w:rPr>
        <w:t xml:space="preserve"> then provided an overview of (1) the section of the original MTWG Report which describes a process for identifying and minimizing overlap between MTIs and Resource Acquisition Programs (RAs),</w:t>
      </w:r>
      <w:r w:rsidR="00BC52AE">
        <w:rPr>
          <w:rFonts w:ascii="Cambria" w:hAnsi="Cambria"/>
        </w:rPr>
        <w:t>;</w:t>
      </w:r>
      <w:r>
        <w:rPr>
          <w:rFonts w:ascii="Cambria" w:hAnsi="Cambria"/>
        </w:rPr>
        <w:t>(2) The Commission Order which adopted most of the recommendations but asked the MTWG to meet again to further describe goal setting and savings attributions between MTIs</w:t>
      </w:r>
      <w:r w:rsidR="00BC52AE">
        <w:rPr>
          <w:rFonts w:ascii="Cambria" w:hAnsi="Cambria"/>
        </w:rPr>
        <w:t xml:space="preserve">, </w:t>
      </w:r>
      <w:r>
        <w:rPr>
          <w:rFonts w:ascii="Cambria" w:hAnsi="Cambria"/>
        </w:rPr>
        <w:t xml:space="preserve">RAs, </w:t>
      </w:r>
      <w:r w:rsidR="00BC52AE">
        <w:rPr>
          <w:rFonts w:ascii="Cambria" w:hAnsi="Cambria"/>
        </w:rPr>
        <w:t xml:space="preserve">other EE efforts; </w:t>
      </w:r>
      <w:r>
        <w:rPr>
          <w:rFonts w:ascii="Cambria" w:hAnsi="Cambria"/>
        </w:rPr>
        <w:t xml:space="preserve">and (3) the MTWG Part II Prospectus, which describes the goals and questions to address by the MTWG. This presentation is available on the meeting webpage (see link above, </w:t>
      </w:r>
      <w:r w:rsidRPr="00B84ADB">
        <w:rPr>
          <w:rFonts w:ascii="Cambria" w:hAnsi="Cambria"/>
          <w:i/>
          <w:iCs/>
        </w:rPr>
        <w:t>MTWG Background and Decision ppt (8.5.20)</w:t>
      </w:r>
      <w:r>
        <w:rPr>
          <w:rFonts w:ascii="Cambria" w:hAnsi="Cambria"/>
          <w:i/>
          <w:iCs/>
        </w:rPr>
        <w:t xml:space="preserve">, </w:t>
      </w:r>
      <w:r>
        <w:rPr>
          <w:rFonts w:ascii="Cambria" w:hAnsi="Cambria"/>
        </w:rPr>
        <w:t>under, “Documents Posted Before the Meeting”)</w:t>
      </w:r>
      <w:r w:rsidRPr="00B84ADB">
        <w:rPr>
          <w:rFonts w:ascii="Cambria" w:hAnsi="Cambria"/>
          <w:i/>
          <w:iCs/>
        </w:rPr>
        <w:t xml:space="preserve">. </w:t>
      </w:r>
    </w:p>
    <w:p w14:paraId="5C54F9BB" w14:textId="42FD72E5" w:rsidR="00B84ADB" w:rsidRDefault="00B84ADB" w:rsidP="004E4053">
      <w:pPr>
        <w:rPr>
          <w:rFonts w:ascii="Cambria" w:hAnsi="Cambria"/>
          <w:i/>
          <w:iCs/>
        </w:rPr>
      </w:pPr>
    </w:p>
    <w:p w14:paraId="5F0521A3" w14:textId="23B58DEB" w:rsidR="00B84ADB" w:rsidRDefault="00B84ADB" w:rsidP="004E4053">
      <w:pPr>
        <w:rPr>
          <w:rFonts w:ascii="Cambria" w:hAnsi="Cambria"/>
        </w:rPr>
      </w:pPr>
      <w:r>
        <w:rPr>
          <w:rFonts w:ascii="Cambria" w:hAnsi="Cambria" w:cs="Times New Roman (Body CS)"/>
          <w:b/>
          <w:smallCaps/>
          <w:sz w:val="26"/>
          <w:szCs w:val="26"/>
        </w:rPr>
        <w:t>MTA Solicitation Process</w:t>
      </w:r>
    </w:p>
    <w:p w14:paraId="7CF0EC15" w14:textId="5D50CC90" w:rsidR="00B84ADB" w:rsidRDefault="00B84ADB" w:rsidP="00B84ADB">
      <w:pPr>
        <w:rPr>
          <w:rFonts w:ascii="Cambria" w:hAnsi="Cambria"/>
          <w:bCs/>
        </w:rPr>
      </w:pPr>
      <w:r>
        <w:rPr>
          <w:rFonts w:ascii="Cambria" w:hAnsi="Cambria"/>
        </w:rPr>
        <w:t xml:space="preserve">C. </w:t>
      </w:r>
      <w:proofErr w:type="spellStart"/>
      <w:r>
        <w:rPr>
          <w:rFonts w:ascii="Cambria" w:hAnsi="Cambria"/>
        </w:rPr>
        <w:t>Torok</w:t>
      </w:r>
      <w:proofErr w:type="spellEnd"/>
      <w:r>
        <w:rPr>
          <w:rFonts w:ascii="Cambria" w:hAnsi="Cambria"/>
        </w:rPr>
        <w:t xml:space="preserve"> then provided an overview of the Market Transformation Administrator (MTA) solicitation process. She </w:t>
      </w:r>
      <w:r>
        <w:rPr>
          <w:rFonts w:ascii="Cambria" w:hAnsi="Cambria"/>
          <w:bCs/>
        </w:rPr>
        <w:t xml:space="preserve">stated that the CPUC issued an invitation to parties to participate in the MTA Scoring Committee. The Scoring Committee will be made up of 3 distinct groups of parties: 1. PAs, 2. Regulatory </w:t>
      </w:r>
      <w:r w:rsidR="00BC52AE">
        <w:rPr>
          <w:rFonts w:ascii="Cambria" w:hAnsi="Cambria"/>
          <w:bCs/>
        </w:rPr>
        <w:t>Agencies</w:t>
      </w:r>
      <w:r>
        <w:rPr>
          <w:rFonts w:ascii="Cambria" w:hAnsi="Cambria"/>
          <w:bCs/>
        </w:rPr>
        <w:t>, and 3. Public Interest/Ratepayer Advocate Group</w:t>
      </w:r>
      <w:r w:rsidR="00BC52AE">
        <w:rPr>
          <w:rFonts w:ascii="Cambria" w:hAnsi="Cambria"/>
          <w:bCs/>
        </w:rPr>
        <w:t>s</w:t>
      </w:r>
      <w:r>
        <w:rPr>
          <w:rFonts w:ascii="Cambria" w:hAnsi="Cambria"/>
          <w:bCs/>
        </w:rPr>
        <w:t xml:space="preserve">. The intent of the Scoring Committee is to recommend a bidder for the </w:t>
      </w:r>
      <w:r w:rsidR="00BC52AE">
        <w:rPr>
          <w:rFonts w:ascii="Cambria" w:hAnsi="Cambria"/>
          <w:bCs/>
        </w:rPr>
        <w:t xml:space="preserve">independent, statewide </w:t>
      </w:r>
      <w:r>
        <w:rPr>
          <w:rFonts w:ascii="Cambria" w:hAnsi="Cambria"/>
          <w:bCs/>
        </w:rPr>
        <w:t xml:space="preserve">MTA to the CPUC.  C. </w:t>
      </w:r>
      <w:proofErr w:type="spellStart"/>
      <w:r>
        <w:rPr>
          <w:rFonts w:ascii="Cambria" w:hAnsi="Cambria"/>
          <w:bCs/>
        </w:rPr>
        <w:t>Torok</w:t>
      </w:r>
      <w:proofErr w:type="spellEnd"/>
      <w:r>
        <w:rPr>
          <w:rFonts w:ascii="Cambria" w:hAnsi="Cambria"/>
          <w:bCs/>
        </w:rPr>
        <w:t xml:space="preserve"> added that any organization wishing to be on the scoring committee, or sponsoring an organization on the scoring committee, must provide information as requested, commit to participate in the ~1yr process, and agree to abstain from </w:t>
      </w:r>
      <w:r w:rsidR="00BC52AE">
        <w:rPr>
          <w:rFonts w:ascii="Cambria" w:hAnsi="Cambria"/>
          <w:bCs/>
        </w:rPr>
        <w:t xml:space="preserve">direct </w:t>
      </w:r>
      <w:r>
        <w:rPr>
          <w:rFonts w:ascii="Cambria" w:hAnsi="Cambria"/>
          <w:bCs/>
        </w:rPr>
        <w:t xml:space="preserve">MTI work for a period of two years. </w:t>
      </w:r>
      <w:r w:rsidR="006E0690">
        <w:rPr>
          <w:rFonts w:ascii="Cambria" w:hAnsi="Cambria"/>
          <w:bCs/>
        </w:rPr>
        <w:t xml:space="preserve">This presentation is available on the meeting webpage (see link above, </w:t>
      </w:r>
      <w:r w:rsidR="006E0690" w:rsidRPr="006E0690">
        <w:rPr>
          <w:rFonts w:ascii="Cambria" w:hAnsi="Cambria"/>
          <w:bCs/>
          <w:i/>
          <w:iCs/>
        </w:rPr>
        <w:t>MT</w:t>
      </w:r>
      <w:r w:rsidR="006E0690">
        <w:rPr>
          <w:rFonts w:ascii="Cambria" w:hAnsi="Cambria"/>
          <w:bCs/>
          <w:i/>
          <w:iCs/>
        </w:rPr>
        <w:t xml:space="preserve">WG Slides </w:t>
      </w:r>
      <w:proofErr w:type="spellStart"/>
      <w:r w:rsidR="006E0690">
        <w:rPr>
          <w:rFonts w:ascii="Cambria" w:hAnsi="Cambria"/>
          <w:bCs/>
          <w:i/>
          <w:iCs/>
        </w:rPr>
        <w:t>Torok</w:t>
      </w:r>
      <w:proofErr w:type="spellEnd"/>
      <w:r w:rsidR="006E0690">
        <w:rPr>
          <w:rFonts w:ascii="Cambria" w:hAnsi="Cambria"/>
          <w:bCs/>
          <w:i/>
          <w:iCs/>
        </w:rPr>
        <w:t xml:space="preserve"> CPUC ppt (8.10.20), </w:t>
      </w:r>
      <w:r w:rsidR="006E0690">
        <w:rPr>
          <w:rFonts w:ascii="Cambria" w:hAnsi="Cambria"/>
          <w:bCs/>
        </w:rPr>
        <w:t>under “Documents Posted Before the Meeting”)</w:t>
      </w:r>
    </w:p>
    <w:p w14:paraId="1FD37850" w14:textId="0EBB4E63" w:rsidR="00B84ADB" w:rsidRDefault="00B84ADB" w:rsidP="00B84ADB">
      <w:pPr>
        <w:rPr>
          <w:rFonts w:ascii="Cambria" w:hAnsi="Cambria"/>
          <w:bCs/>
        </w:rPr>
      </w:pPr>
    </w:p>
    <w:p w14:paraId="4FB8BB29" w14:textId="7FC4AA84" w:rsidR="00B84ADB" w:rsidRPr="00B84ADB" w:rsidRDefault="00B84ADB" w:rsidP="004E4053">
      <w:pPr>
        <w:rPr>
          <w:rFonts w:ascii="Cambria" w:hAnsi="Cambria"/>
          <w:bCs/>
        </w:rPr>
      </w:pPr>
      <w:r>
        <w:rPr>
          <w:rFonts w:ascii="Cambria" w:hAnsi="Cambria"/>
          <w:bCs/>
        </w:rPr>
        <w:t>Following this presentation, a Member asked for more detail on who fits into the category 3. Public Interest/Ratepayer Advocate Group</w:t>
      </w:r>
      <w:r w:rsidR="00BC52AE">
        <w:rPr>
          <w:rFonts w:ascii="Cambria" w:hAnsi="Cambria"/>
          <w:bCs/>
        </w:rPr>
        <w:t>s</w:t>
      </w:r>
      <w:r>
        <w:rPr>
          <w:rFonts w:ascii="Cambria" w:hAnsi="Cambria"/>
          <w:bCs/>
        </w:rPr>
        <w:t xml:space="preserve">. C. </w:t>
      </w:r>
      <w:proofErr w:type="spellStart"/>
      <w:r>
        <w:rPr>
          <w:rFonts w:ascii="Cambria" w:hAnsi="Cambria"/>
          <w:bCs/>
        </w:rPr>
        <w:t>Torok</w:t>
      </w:r>
      <w:proofErr w:type="spellEnd"/>
      <w:r>
        <w:rPr>
          <w:rFonts w:ascii="Cambria" w:hAnsi="Cambria"/>
          <w:bCs/>
        </w:rPr>
        <w:t xml:space="preserve"> replied that a qualifying group can be </w:t>
      </w:r>
      <w:r>
        <w:rPr>
          <w:rFonts w:ascii="Cambria" w:hAnsi="Cambria"/>
          <w:bCs/>
          <w:i/>
          <w:iCs/>
        </w:rPr>
        <w:t>either</w:t>
      </w:r>
      <w:r>
        <w:rPr>
          <w:rFonts w:ascii="Cambria" w:hAnsi="Cambria"/>
          <w:bCs/>
        </w:rPr>
        <w:t xml:space="preserve"> public interest </w:t>
      </w:r>
      <w:r>
        <w:rPr>
          <w:rFonts w:ascii="Cambria" w:hAnsi="Cambria"/>
          <w:bCs/>
          <w:i/>
          <w:iCs/>
        </w:rPr>
        <w:t xml:space="preserve">or </w:t>
      </w:r>
      <w:r>
        <w:rPr>
          <w:rFonts w:ascii="Cambria" w:hAnsi="Cambria"/>
          <w:bCs/>
        </w:rPr>
        <w:t xml:space="preserve">ratepayer advocate, and that the primary intention is to include organizations whose interests align with the ratepayer interests. Another Member asked whether the MTA would act as both an </w:t>
      </w:r>
      <w:r w:rsidR="006E0690">
        <w:rPr>
          <w:rFonts w:ascii="Cambria" w:hAnsi="Cambria"/>
          <w:bCs/>
        </w:rPr>
        <w:t>a</w:t>
      </w:r>
      <w:r>
        <w:rPr>
          <w:rFonts w:ascii="Cambria" w:hAnsi="Cambria"/>
          <w:bCs/>
        </w:rPr>
        <w:t xml:space="preserve">dministrator and an implementer, or only </w:t>
      </w:r>
      <w:r w:rsidR="006E0690">
        <w:rPr>
          <w:rFonts w:ascii="Cambria" w:hAnsi="Cambria"/>
          <w:bCs/>
        </w:rPr>
        <w:t xml:space="preserve">as </w:t>
      </w:r>
      <w:r>
        <w:rPr>
          <w:rFonts w:ascii="Cambria" w:hAnsi="Cambria"/>
          <w:bCs/>
        </w:rPr>
        <w:t xml:space="preserve">an </w:t>
      </w:r>
      <w:r w:rsidR="006E0690">
        <w:rPr>
          <w:rFonts w:ascii="Cambria" w:hAnsi="Cambria"/>
          <w:bCs/>
        </w:rPr>
        <w:t>a</w:t>
      </w:r>
      <w:r>
        <w:rPr>
          <w:rFonts w:ascii="Cambria" w:hAnsi="Cambria"/>
          <w:bCs/>
        </w:rPr>
        <w:t>dm</w:t>
      </w:r>
      <w:r w:rsidR="00FD364F">
        <w:rPr>
          <w:rFonts w:ascii="Cambria" w:hAnsi="Cambria"/>
          <w:bCs/>
        </w:rPr>
        <w:t>i</w:t>
      </w:r>
      <w:r>
        <w:rPr>
          <w:rFonts w:ascii="Cambria" w:hAnsi="Cambria"/>
          <w:bCs/>
        </w:rPr>
        <w:t xml:space="preserve">nistrator? C. </w:t>
      </w:r>
      <w:proofErr w:type="spellStart"/>
      <w:r>
        <w:rPr>
          <w:rFonts w:ascii="Cambria" w:hAnsi="Cambria"/>
          <w:bCs/>
        </w:rPr>
        <w:t>Torok</w:t>
      </w:r>
      <w:proofErr w:type="spellEnd"/>
      <w:r>
        <w:rPr>
          <w:rFonts w:ascii="Cambria" w:hAnsi="Cambria"/>
          <w:bCs/>
        </w:rPr>
        <w:t xml:space="preserve"> replied that the MTA will act primarily as an Administrator and this entity will outsource most if not all MTI</w:t>
      </w:r>
      <w:r w:rsidR="00BC52AE">
        <w:rPr>
          <w:rFonts w:ascii="Cambria" w:hAnsi="Cambria"/>
          <w:bCs/>
        </w:rPr>
        <w:t xml:space="preserve"> implementation</w:t>
      </w:r>
      <w:r>
        <w:rPr>
          <w:rFonts w:ascii="Cambria" w:hAnsi="Cambria"/>
          <w:bCs/>
        </w:rPr>
        <w:t>.</w:t>
      </w:r>
    </w:p>
    <w:p w14:paraId="372F664C" w14:textId="77777777" w:rsidR="00B84ADB" w:rsidRDefault="00B84ADB" w:rsidP="004E4053">
      <w:pPr>
        <w:rPr>
          <w:rFonts w:ascii="Cambria" w:hAnsi="Cambria" w:cs="Times New Roman (Body CS)"/>
          <w:b/>
          <w:smallCaps/>
          <w:sz w:val="26"/>
          <w:szCs w:val="26"/>
        </w:rPr>
      </w:pPr>
    </w:p>
    <w:p w14:paraId="65863819" w14:textId="53DC7D8F" w:rsidR="00EC62E8" w:rsidRDefault="006E0690" w:rsidP="004E4053">
      <w:pPr>
        <w:rPr>
          <w:rFonts w:ascii="Cambria" w:hAnsi="Cambria" w:cs="Times New Roman (Body CS)"/>
          <w:b/>
          <w:smallCaps/>
          <w:sz w:val="26"/>
          <w:szCs w:val="26"/>
        </w:rPr>
      </w:pPr>
      <w:r>
        <w:rPr>
          <w:rFonts w:ascii="Cambria" w:hAnsi="Cambria" w:cs="Times New Roman (Body CS)"/>
          <w:b/>
          <w:smallCaps/>
          <w:sz w:val="26"/>
          <w:szCs w:val="26"/>
        </w:rPr>
        <w:t>Attributing Savings Between MTIs and Other EE Efforts</w:t>
      </w:r>
    </w:p>
    <w:p w14:paraId="2AB63F88" w14:textId="77777777" w:rsidR="006E0690" w:rsidRDefault="006E0690" w:rsidP="004E4053">
      <w:pPr>
        <w:rPr>
          <w:rFonts w:ascii="Cambria" w:hAnsi="Cambria" w:cs="Times New Roman (Body CS)"/>
          <w:b/>
          <w:smallCaps/>
          <w:sz w:val="26"/>
          <w:szCs w:val="26"/>
        </w:rPr>
      </w:pPr>
    </w:p>
    <w:p w14:paraId="2FF3E2E5" w14:textId="14EBC19C" w:rsidR="006E0690" w:rsidRPr="006E0690" w:rsidRDefault="006E0690" w:rsidP="004E4053">
      <w:pPr>
        <w:rPr>
          <w:rFonts w:ascii="Cambria" w:hAnsi="Cambria"/>
          <w:b/>
          <w:bCs/>
          <w:i/>
          <w:iCs/>
        </w:rPr>
      </w:pPr>
      <w:r w:rsidRPr="006E0690">
        <w:rPr>
          <w:rFonts w:ascii="Cambria" w:hAnsi="Cambria"/>
          <w:b/>
          <w:bCs/>
          <w:i/>
          <w:iCs/>
        </w:rPr>
        <w:t>Savings and Codes and Standards: Examples from Other Regions – Margie Gardner, Resource Innovations</w:t>
      </w:r>
    </w:p>
    <w:p w14:paraId="5C508F1D" w14:textId="4045BBE2" w:rsidR="00FD364F" w:rsidRDefault="006E0690" w:rsidP="004E4053">
      <w:pPr>
        <w:rPr>
          <w:rFonts w:ascii="Cambria" w:hAnsi="Cambria"/>
          <w:bCs/>
        </w:rPr>
      </w:pPr>
      <w:r>
        <w:rPr>
          <w:rFonts w:ascii="Cambria" w:hAnsi="Cambria"/>
          <w:bCs/>
        </w:rPr>
        <w:t xml:space="preserve">This presentation is available on the meeting webpage (see link above, </w:t>
      </w:r>
      <w:r>
        <w:rPr>
          <w:rFonts w:ascii="Cambria" w:hAnsi="Cambria"/>
          <w:bCs/>
          <w:i/>
          <w:iCs/>
        </w:rPr>
        <w:t xml:space="preserve">Savings Attribution – Illinois &amp; NEEAA Examples (7.23.20), </w:t>
      </w:r>
      <w:r>
        <w:rPr>
          <w:rFonts w:ascii="Cambria" w:hAnsi="Cambria"/>
          <w:bCs/>
        </w:rPr>
        <w:t>under “Documents Posted Before the Meeting”)</w:t>
      </w:r>
      <w:r w:rsidR="00FD364F">
        <w:rPr>
          <w:rFonts w:ascii="Cambria" w:hAnsi="Cambria"/>
          <w:bCs/>
        </w:rPr>
        <w:t>. Members posed the following clarifying questions and comments on this presentation:</w:t>
      </w:r>
    </w:p>
    <w:p w14:paraId="5CC46AFF" w14:textId="7D4556A5" w:rsidR="003F4B48" w:rsidRDefault="003F4B48" w:rsidP="004E4053">
      <w:pPr>
        <w:rPr>
          <w:rFonts w:ascii="Cambria" w:hAnsi="Cambria"/>
          <w:bCs/>
        </w:rPr>
      </w:pPr>
    </w:p>
    <w:p w14:paraId="0B049D74" w14:textId="2C305A82" w:rsidR="00086965" w:rsidRDefault="00086965" w:rsidP="00086965">
      <w:pPr>
        <w:pStyle w:val="ListParagraph"/>
        <w:numPr>
          <w:ilvl w:val="0"/>
          <w:numId w:val="17"/>
        </w:numPr>
        <w:rPr>
          <w:rFonts w:ascii="Cambria" w:hAnsi="Cambria"/>
        </w:rPr>
      </w:pPr>
      <w:r>
        <w:rPr>
          <w:rFonts w:ascii="Cambria" w:hAnsi="Cambria"/>
        </w:rPr>
        <w:t>Regarding the NEEA practice, how does the RA</w:t>
      </w:r>
      <w:r w:rsidRPr="00086965">
        <w:rPr>
          <w:rFonts w:ascii="Cambria" w:hAnsi="Cambria" w:cs="Arial (Body CS)"/>
          <w:vertAlign w:val="subscript"/>
        </w:rPr>
        <w:t xml:space="preserve"> </w:t>
      </w:r>
      <w:proofErr w:type="spellStart"/>
      <w:r w:rsidRPr="00086965">
        <w:rPr>
          <w:rFonts w:ascii="Cambria" w:hAnsi="Cambria" w:cs="Arial (Body CS)"/>
          <w:vertAlign w:val="subscript"/>
        </w:rPr>
        <w:t>adjustment</w:t>
      </w:r>
      <w:r>
        <w:rPr>
          <w:rFonts w:ascii="Cambria" w:hAnsi="Cambria"/>
        </w:rPr>
        <w:t>Units</w:t>
      </w:r>
      <w:proofErr w:type="spellEnd"/>
      <w:r>
        <w:rPr>
          <w:rFonts w:ascii="Cambria" w:hAnsi="Cambria"/>
        </w:rPr>
        <w:t xml:space="preserve"> relate to the RA savings claims in order to avoid double counting? </w:t>
      </w:r>
    </w:p>
    <w:p w14:paraId="560D01F8" w14:textId="6F000839" w:rsidR="00086965" w:rsidRPr="00086965" w:rsidRDefault="00086965" w:rsidP="00086965">
      <w:pPr>
        <w:pStyle w:val="ListParagraph"/>
        <w:numPr>
          <w:ilvl w:val="1"/>
          <w:numId w:val="17"/>
        </w:numPr>
        <w:rPr>
          <w:rFonts w:ascii="Cambria" w:hAnsi="Cambria"/>
        </w:rPr>
      </w:pPr>
      <w:r>
        <w:rPr>
          <w:rFonts w:ascii="Cambria" w:hAnsi="Cambria"/>
          <w:i/>
          <w:iCs/>
        </w:rPr>
        <w:t xml:space="preserve">The NEEA method avoids double counting in RA units as opposed to within energy savings, due to the differences embedded in energy savings across the different jurisdictions served by NEEA. The units deducted are </w:t>
      </w:r>
      <w:r w:rsidR="00BC52AE">
        <w:rPr>
          <w:rFonts w:ascii="Cambria" w:hAnsi="Cambria"/>
          <w:i/>
          <w:iCs/>
        </w:rPr>
        <w:t xml:space="preserve">those </w:t>
      </w:r>
      <w:r>
        <w:rPr>
          <w:rFonts w:ascii="Cambria" w:hAnsi="Cambria"/>
          <w:i/>
          <w:iCs/>
        </w:rPr>
        <w:t>reported by the utilities</w:t>
      </w:r>
      <w:r w:rsidR="00FD364F">
        <w:rPr>
          <w:rFonts w:ascii="Cambria" w:hAnsi="Cambria"/>
          <w:i/>
          <w:iCs/>
        </w:rPr>
        <w:t xml:space="preserve"> (not calculated by NEEA)</w:t>
      </w:r>
      <w:r>
        <w:rPr>
          <w:rFonts w:ascii="Cambria" w:hAnsi="Cambria"/>
          <w:i/>
          <w:iCs/>
        </w:rPr>
        <w:t xml:space="preserve">. </w:t>
      </w:r>
    </w:p>
    <w:p w14:paraId="01205E8C" w14:textId="5F77C082" w:rsidR="00086965" w:rsidRDefault="00086965" w:rsidP="00086965">
      <w:pPr>
        <w:pStyle w:val="ListParagraph"/>
        <w:numPr>
          <w:ilvl w:val="0"/>
          <w:numId w:val="17"/>
        </w:numPr>
        <w:rPr>
          <w:rFonts w:ascii="Cambria" w:hAnsi="Cambria"/>
        </w:rPr>
      </w:pPr>
      <w:r w:rsidRPr="00086965">
        <w:rPr>
          <w:rFonts w:ascii="Cambria" w:hAnsi="Cambria"/>
        </w:rPr>
        <w:t>As noted by Jeff Harris in the earlier MTWG, won’t MT activities affect the baselines and how often will baselines be maintained before being reassessed</w:t>
      </w:r>
      <w:r w:rsidR="00BC52AE">
        <w:rPr>
          <w:rFonts w:ascii="Cambria" w:hAnsi="Cambria"/>
        </w:rPr>
        <w:t xml:space="preserve"> and updated</w:t>
      </w:r>
      <w:r w:rsidRPr="00086965">
        <w:rPr>
          <w:rFonts w:ascii="Cambria" w:hAnsi="Cambria"/>
        </w:rPr>
        <w:t>? In CA where increasing baselines have limited incentive program market potential, how do we avoid this impact for MT initiatives?</w:t>
      </w:r>
    </w:p>
    <w:p w14:paraId="3E767443" w14:textId="2C0E825A" w:rsidR="00FD364F" w:rsidRPr="00FD364F" w:rsidRDefault="00210EBC" w:rsidP="00FD364F">
      <w:pPr>
        <w:pStyle w:val="ListParagraph"/>
        <w:numPr>
          <w:ilvl w:val="1"/>
          <w:numId w:val="17"/>
        </w:numPr>
        <w:rPr>
          <w:rFonts w:ascii="Cambria" w:hAnsi="Cambria"/>
        </w:rPr>
      </w:pPr>
      <w:r>
        <w:rPr>
          <w:rFonts w:ascii="Cambria" w:hAnsi="Cambria"/>
          <w:i/>
          <w:iCs/>
        </w:rPr>
        <w:t xml:space="preserve">This is a critical policy discussion for this initiative. In IL, the method used is to come to agreement on the market baseline up front, and it is considered stable until new information emerges that might change that baseline. Any changes made are </w:t>
      </w:r>
      <w:r w:rsidR="00BC52AE">
        <w:rPr>
          <w:rFonts w:ascii="Cambria" w:hAnsi="Cambria"/>
          <w:i/>
          <w:iCs/>
        </w:rPr>
        <w:t xml:space="preserve">then applied </w:t>
      </w:r>
      <w:r>
        <w:rPr>
          <w:rFonts w:ascii="Cambria" w:hAnsi="Cambria"/>
          <w:i/>
          <w:iCs/>
        </w:rPr>
        <w:t>prospective</w:t>
      </w:r>
      <w:r w:rsidR="00BC52AE">
        <w:rPr>
          <w:rFonts w:ascii="Cambria" w:hAnsi="Cambria"/>
          <w:i/>
          <w:iCs/>
        </w:rPr>
        <w:t>ly</w:t>
      </w:r>
      <w:r>
        <w:rPr>
          <w:rFonts w:ascii="Cambria" w:hAnsi="Cambria"/>
          <w:i/>
          <w:iCs/>
        </w:rPr>
        <w:t xml:space="preserve"> and not retrospective</w:t>
      </w:r>
      <w:r w:rsidR="00BC52AE">
        <w:rPr>
          <w:rFonts w:ascii="Cambria" w:hAnsi="Cambria"/>
          <w:i/>
          <w:iCs/>
        </w:rPr>
        <w:t>ly</w:t>
      </w:r>
      <w:r>
        <w:rPr>
          <w:rFonts w:ascii="Cambria" w:hAnsi="Cambria"/>
          <w:i/>
          <w:iCs/>
        </w:rPr>
        <w:t>.</w:t>
      </w:r>
      <w:r w:rsidR="00FD364F">
        <w:rPr>
          <w:rFonts w:ascii="Cambria" w:hAnsi="Cambria"/>
          <w:i/>
          <w:iCs/>
        </w:rPr>
        <w:t xml:space="preserve"> </w:t>
      </w:r>
      <w:r w:rsidR="00FD364F" w:rsidRPr="00FD364F">
        <w:rPr>
          <w:rFonts w:ascii="Cambria" w:hAnsi="Cambria"/>
          <w:i/>
          <w:iCs/>
        </w:rPr>
        <w:t xml:space="preserve">There are many similar policy questions, some of which should be discussed after the MTA is on </w:t>
      </w:r>
      <w:r w:rsidR="00FD364F" w:rsidRPr="00FD364F">
        <w:rPr>
          <w:rFonts w:ascii="Cambria" w:hAnsi="Cambria"/>
          <w:i/>
          <w:iCs/>
        </w:rPr>
        <w:lastRenderedPageBreak/>
        <w:t>board and others which this group may wish to discuss beforehand.</w:t>
      </w:r>
      <w:r w:rsidR="00FD364F">
        <w:rPr>
          <w:rFonts w:ascii="Cambria" w:hAnsi="Cambria"/>
          <w:i/>
          <w:iCs/>
        </w:rPr>
        <w:t xml:space="preserve"> It will be important to have up-front agreement on key issues such as fuel switching and various fuel baselines; it will also be important to allow for dynamism in how forecasts are treated in the MTI going forward. </w:t>
      </w:r>
    </w:p>
    <w:p w14:paraId="407A8EDB" w14:textId="1AFD16C6" w:rsidR="00210EBC" w:rsidRDefault="00FD364F" w:rsidP="00210EBC">
      <w:pPr>
        <w:pStyle w:val="ListParagraph"/>
        <w:numPr>
          <w:ilvl w:val="0"/>
          <w:numId w:val="17"/>
        </w:numPr>
        <w:rPr>
          <w:rFonts w:ascii="Cambria" w:hAnsi="Cambria"/>
        </w:rPr>
      </w:pPr>
      <w:r>
        <w:rPr>
          <w:rFonts w:ascii="Cambria" w:hAnsi="Cambria"/>
        </w:rPr>
        <w:t xml:space="preserve">It’s very difficult to develop an accurate method for attributing savings between MTIs and RAs. MT can improve the effectiveness of these programs in the short term but in the long term this could also impact the ability of 3Ps to run RA programs, since they are getting paid on the implementation of these programs. </w:t>
      </w:r>
    </w:p>
    <w:p w14:paraId="7A5F5FF3" w14:textId="1A975063" w:rsidR="00FD364F" w:rsidRPr="00FD364F" w:rsidRDefault="00FD364F" w:rsidP="00FD364F">
      <w:pPr>
        <w:pStyle w:val="ListParagraph"/>
        <w:numPr>
          <w:ilvl w:val="1"/>
          <w:numId w:val="17"/>
        </w:numPr>
        <w:rPr>
          <w:rFonts w:ascii="Cambria" w:hAnsi="Cambria"/>
        </w:rPr>
      </w:pPr>
      <w:r>
        <w:rPr>
          <w:rFonts w:ascii="Cambria" w:hAnsi="Cambria"/>
          <w:i/>
          <w:iCs/>
        </w:rPr>
        <w:t>This is one reason IL chose a simpler approach, which includes all savings produced by 3Ps in the RA bucket.</w:t>
      </w:r>
    </w:p>
    <w:p w14:paraId="39F3A7D4" w14:textId="764FEAC9" w:rsidR="00FD364F" w:rsidRDefault="00FD364F" w:rsidP="00FD364F">
      <w:pPr>
        <w:pStyle w:val="ListParagraph"/>
        <w:numPr>
          <w:ilvl w:val="0"/>
          <w:numId w:val="17"/>
        </w:numPr>
        <w:rPr>
          <w:rFonts w:ascii="Cambria" w:hAnsi="Cambria"/>
        </w:rPr>
      </w:pPr>
      <w:r>
        <w:rPr>
          <w:rFonts w:ascii="Cambria" w:hAnsi="Cambria"/>
        </w:rPr>
        <w:t xml:space="preserve">California is in a unique position because of changes in 3P implementation and Emerging Technology (ET), which may change how ET and C&amp;S are counted. Do you have thoughts about how this transition could work? </w:t>
      </w:r>
    </w:p>
    <w:p w14:paraId="2B8ED466" w14:textId="217719C9" w:rsidR="00FD364F" w:rsidRPr="00FD364F" w:rsidRDefault="00FD364F" w:rsidP="00FD364F">
      <w:pPr>
        <w:pStyle w:val="ListParagraph"/>
        <w:numPr>
          <w:ilvl w:val="1"/>
          <w:numId w:val="17"/>
        </w:numPr>
        <w:rPr>
          <w:rFonts w:ascii="Cambria" w:hAnsi="Cambria"/>
        </w:rPr>
      </w:pPr>
      <w:r w:rsidRPr="00FD364F">
        <w:rPr>
          <w:rFonts w:ascii="Cambria" w:hAnsi="Cambria"/>
          <w:i/>
          <w:iCs/>
        </w:rPr>
        <w:t xml:space="preserve">The MTA will need to work closely with ET groups to determine whether they fit under the MT umbrella, or whether they are considered RA programs. </w:t>
      </w:r>
    </w:p>
    <w:p w14:paraId="7124E77E" w14:textId="36CE93F9" w:rsidR="00FD364F" w:rsidRPr="00FD364F" w:rsidRDefault="00FD364F" w:rsidP="00FD364F">
      <w:pPr>
        <w:pStyle w:val="ListParagraph"/>
        <w:numPr>
          <w:ilvl w:val="1"/>
          <w:numId w:val="17"/>
        </w:numPr>
        <w:rPr>
          <w:rFonts w:ascii="Cambria" w:hAnsi="Cambria"/>
          <w:i/>
          <w:iCs/>
        </w:rPr>
      </w:pPr>
      <w:r>
        <w:rPr>
          <w:rFonts w:ascii="Cambria" w:hAnsi="Cambria"/>
          <w:i/>
          <w:iCs/>
        </w:rPr>
        <w:t>One</w:t>
      </w:r>
      <w:r w:rsidRPr="00FD364F">
        <w:rPr>
          <w:rFonts w:ascii="Cambria" w:hAnsi="Cambria"/>
          <w:i/>
          <w:iCs/>
        </w:rPr>
        <w:t xml:space="preserve"> intention of the solicitation process is to include ET-focused pilot(s) to collect data with an eye toward creating successful ET-focused MTI</w:t>
      </w:r>
      <w:r w:rsidR="00916107">
        <w:rPr>
          <w:rFonts w:ascii="Cambria" w:hAnsi="Cambria"/>
          <w:i/>
          <w:iCs/>
        </w:rPr>
        <w:t>s.</w:t>
      </w:r>
    </w:p>
    <w:p w14:paraId="67E39729" w14:textId="15EDE4F3" w:rsidR="00FD364F" w:rsidRDefault="00FD364F" w:rsidP="00FD364F">
      <w:pPr>
        <w:pStyle w:val="ListParagraph"/>
        <w:numPr>
          <w:ilvl w:val="0"/>
          <w:numId w:val="17"/>
        </w:numPr>
        <w:rPr>
          <w:rFonts w:ascii="Cambria" w:hAnsi="Cambria"/>
        </w:rPr>
      </w:pPr>
      <w:r w:rsidRPr="00FD364F">
        <w:rPr>
          <w:rFonts w:ascii="Cambria" w:hAnsi="Cambria"/>
        </w:rPr>
        <w:t>Regarding your slide 12, “The Effect of Energy Code Adoption,</w:t>
      </w:r>
      <w:r>
        <w:rPr>
          <w:rFonts w:ascii="Cambria" w:hAnsi="Cambria"/>
        </w:rPr>
        <w:t>”</w:t>
      </w:r>
      <w:r w:rsidRPr="00FD364F">
        <w:rPr>
          <w:rFonts w:ascii="Cambria" w:hAnsi="Cambria"/>
        </w:rPr>
        <w:t xml:space="preserve"> </w:t>
      </w:r>
      <w:r>
        <w:rPr>
          <w:rFonts w:ascii="Cambria" w:hAnsi="Cambria"/>
        </w:rPr>
        <w:t>wouldn’t the code credit stop when the natural market baseline catches up to the code level? This is how it’s done in California.</w:t>
      </w:r>
    </w:p>
    <w:p w14:paraId="04432F39" w14:textId="2E0F816A" w:rsidR="00FD364F" w:rsidRPr="00FD364F" w:rsidRDefault="00FD364F" w:rsidP="00FD364F">
      <w:pPr>
        <w:pStyle w:val="ListParagraph"/>
        <w:numPr>
          <w:ilvl w:val="1"/>
          <w:numId w:val="17"/>
        </w:numPr>
        <w:rPr>
          <w:rFonts w:ascii="Cambria" w:hAnsi="Cambria"/>
          <w:i/>
          <w:iCs/>
        </w:rPr>
      </w:pPr>
      <w:r w:rsidRPr="00FD364F">
        <w:rPr>
          <w:rFonts w:ascii="Cambria" w:hAnsi="Cambria"/>
          <w:i/>
          <w:iCs/>
        </w:rPr>
        <w:t xml:space="preserve">Conceptually that would be ideal, but when you’re trying to project what will happen e.g. 10 years down the line, you might even hypothesize that natural market baseline units </w:t>
      </w:r>
      <w:r w:rsidRPr="00FD364F">
        <w:rPr>
          <w:rFonts w:ascii="Cambria" w:hAnsi="Cambria"/>
        </w:rPr>
        <w:t>never</w:t>
      </w:r>
      <w:r w:rsidRPr="00FD364F">
        <w:rPr>
          <w:rFonts w:ascii="Cambria" w:hAnsi="Cambria"/>
          <w:i/>
          <w:iCs/>
        </w:rPr>
        <w:t xml:space="preserve"> catch up to the savings level with code credits</w:t>
      </w:r>
      <w:r>
        <w:rPr>
          <w:rFonts w:ascii="Cambria" w:hAnsi="Cambria"/>
          <w:i/>
          <w:iCs/>
        </w:rPr>
        <w:t xml:space="preserve"> (the top orange line)</w:t>
      </w:r>
      <w:r w:rsidRPr="00FD364F">
        <w:rPr>
          <w:rFonts w:ascii="Cambria" w:hAnsi="Cambria"/>
          <w:i/>
          <w:iCs/>
        </w:rPr>
        <w:t>.</w:t>
      </w:r>
      <w:r>
        <w:rPr>
          <w:rFonts w:ascii="Cambria" w:hAnsi="Cambria"/>
          <w:i/>
          <w:iCs/>
        </w:rPr>
        <w:t xml:space="preserve"> In some jurisdictions there is a point after which some stakeholders are uncomfortable counting the savings. </w:t>
      </w:r>
    </w:p>
    <w:p w14:paraId="0807E4B6" w14:textId="4FE1C317" w:rsidR="00FD364F" w:rsidRPr="00FD364F" w:rsidRDefault="00FD364F" w:rsidP="00FD364F">
      <w:pPr>
        <w:pStyle w:val="ListParagraph"/>
        <w:numPr>
          <w:ilvl w:val="0"/>
          <w:numId w:val="17"/>
        </w:numPr>
        <w:rPr>
          <w:rFonts w:ascii="Cambria" w:hAnsi="Cambria"/>
        </w:rPr>
      </w:pPr>
      <w:r>
        <w:rPr>
          <w:rFonts w:ascii="Cambria" w:hAnsi="Cambria"/>
        </w:rPr>
        <w:t xml:space="preserve">Regarding your slide 13, “Savings from Enhanced Code Compliance”, in California we don’t count the savings from the program compliance improvement - they get counted in the overall attribution for advocacy for a specific measure. If there are more savings from the measures than originally anticipated, the compliance break can even go over 100%. </w:t>
      </w:r>
    </w:p>
    <w:p w14:paraId="584DFF02" w14:textId="23E47DB3" w:rsidR="00FD364F" w:rsidRPr="00FD364F" w:rsidRDefault="00FD364F" w:rsidP="00FD364F">
      <w:pPr>
        <w:pStyle w:val="ListParagraph"/>
        <w:numPr>
          <w:ilvl w:val="1"/>
          <w:numId w:val="17"/>
        </w:numPr>
        <w:rPr>
          <w:rFonts w:ascii="Cambria" w:hAnsi="Cambria"/>
        </w:rPr>
      </w:pPr>
      <w:r>
        <w:rPr>
          <w:rFonts w:ascii="Cambria" w:hAnsi="Cambria"/>
          <w:i/>
          <w:iCs/>
        </w:rPr>
        <w:t xml:space="preserve">Yes, the way C&amp;S is counted is different in CA, so the MT savings attribution for C&amp;S </w:t>
      </w:r>
      <w:r w:rsidR="00916107">
        <w:rPr>
          <w:rFonts w:ascii="Cambria" w:hAnsi="Cambria"/>
          <w:i/>
          <w:iCs/>
        </w:rPr>
        <w:t xml:space="preserve">must </w:t>
      </w:r>
      <w:r>
        <w:rPr>
          <w:rFonts w:ascii="Cambria" w:hAnsi="Cambria"/>
          <w:i/>
          <w:iCs/>
        </w:rPr>
        <w:t xml:space="preserve">also be </w:t>
      </w:r>
      <w:r w:rsidRPr="00FD364F">
        <w:rPr>
          <w:rFonts w:ascii="Cambria" w:hAnsi="Cambria"/>
          <w:i/>
          <w:iCs/>
        </w:rPr>
        <w:t>calculated differently</w:t>
      </w:r>
      <w:r>
        <w:rPr>
          <w:rFonts w:ascii="Cambria" w:hAnsi="Cambria"/>
          <w:i/>
          <w:iCs/>
        </w:rPr>
        <w:t xml:space="preserve"> in order to avoid double counting.</w:t>
      </w:r>
    </w:p>
    <w:p w14:paraId="12464AE9" w14:textId="22A1BEDC" w:rsidR="00FD364F" w:rsidRPr="00FD364F" w:rsidRDefault="00FD364F" w:rsidP="00FD364F">
      <w:pPr>
        <w:pStyle w:val="ListParagraph"/>
        <w:numPr>
          <w:ilvl w:val="0"/>
          <w:numId w:val="17"/>
        </w:numPr>
        <w:rPr>
          <w:rFonts w:ascii="Cambria" w:hAnsi="Cambria"/>
        </w:rPr>
      </w:pPr>
      <w:r w:rsidRPr="00FD364F">
        <w:rPr>
          <w:rFonts w:ascii="Cambria" w:hAnsi="Cambria"/>
        </w:rPr>
        <w:t>There is a fair amount of MT</w:t>
      </w:r>
      <w:r>
        <w:rPr>
          <w:rFonts w:ascii="Cambria" w:hAnsi="Cambria"/>
        </w:rPr>
        <w:t xml:space="preserve"> </w:t>
      </w:r>
      <w:r w:rsidRPr="00FD364F">
        <w:rPr>
          <w:rFonts w:ascii="Cambria" w:hAnsi="Cambria"/>
        </w:rPr>
        <w:t xml:space="preserve">that occurs within </w:t>
      </w:r>
      <w:r>
        <w:rPr>
          <w:rFonts w:ascii="Cambria" w:hAnsi="Cambria"/>
        </w:rPr>
        <w:t>C&amp;S</w:t>
      </w:r>
      <w:r w:rsidRPr="00FD364F">
        <w:rPr>
          <w:rFonts w:ascii="Cambria" w:hAnsi="Cambria"/>
        </w:rPr>
        <w:t xml:space="preserve"> – e.g. Title 24 is a source of MT. </w:t>
      </w:r>
    </w:p>
    <w:p w14:paraId="52850077" w14:textId="561F392D" w:rsidR="00FD364F" w:rsidRPr="00FD364F" w:rsidRDefault="00FD364F" w:rsidP="00FD364F">
      <w:pPr>
        <w:pStyle w:val="ListParagraph"/>
        <w:numPr>
          <w:ilvl w:val="1"/>
          <w:numId w:val="17"/>
        </w:numPr>
        <w:rPr>
          <w:rFonts w:ascii="Cambria" w:hAnsi="Cambria"/>
          <w:i/>
          <w:iCs/>
        </w:rPr>
      </w:pPr>
      <w:r w:rsidRPr="00FD364F">
        <w:rPr>
          <w:rFonts w:ascii="Cambria" w:hAnsi="Cambria"/>
          <w:i/>
          <w:iCs/>
        </w:rPr>
        <w:t>Yes, I see C&amp;S as one of the most important tools in the MT tool box.</w:t>
      </w:r>
    </w:p>
    <w:p w14:paraId="06E162C5" w14:textId="6947CD88" w:rsidR="00FD364F" w:rsidRDefault="00FD364F" w:rsidP="00FD364F">
      <w:pPr>
        <w:pStyle w:val="ListParagraph"/>
        <w:numPr>
          <w:ilvl w:val="0"/>
          <w:numId w:val="17"/>
        </w:numPr>
        <w:rPr>
          <w:rFonts w:ascii="Cambria" w:hAnsi="Cambria"/>
        </w:rPr>
      </w:pPr>
      <w:r>
        <w:rPr>
          <w:rFonts w:ascii="Cambria" w:hAnsi="Cambria"/>
        </w:rPr>
        <w:t xml:space="preserve">Regarding the Conclusions of Law #28 (p. 86) presented on your slide 11, “The benefits and costs of activities related to C&amp;S development and implementation should be included in the cost-effectiveness calculations for MTIs where they are logically related.” – doesn’t that mean </w:t>
      </w:r>
      <w:r w:rsidRPr="00595444">
        <w:rPr>
          <w:rFonts w:ascii="Cambria" w:hAnsi="Cambria"/>
        </w:rPr>
        <w:t>that</w:t>
      </w:r>
      <w:r w:rsidR="00595444" w:rsidRPr="00595444">
        <w:rPr>
          <w:rFonts w:ascii="Cambria" w:hAnsi="Cambria"/>
        </w:rPr>
        <w:t xml:space="preserve"> the savings of activities related to C&amp;S development also need to be included in the CE calculations</w:t>
      </w:r>
      <w:r w:rsidRPr="00595444">
        <w:rPr>
          <w:rFonts w:ascii="Cambria" w:hAnsi="Cambria"/>
        </w:rPr>
        <w:t xml:space="preserve">? </w:t>
      </w:r>
      <w:r w:rsidR="00595444">
        <w:rPr>
          <w:rFonts w:ascii="Cambria" w:hAnsi="Cambria"/>
        </w:rPr>
        <w:t>If so, w</w:t>
      </w:r>
      <w:r w:rsidRPr="00595444">
        <w:rPr>
          <w:rFonts w:ascii="Cambria" w:hAnsi="Cambria"/>
        </w:rPr>
        <w:t>ould</w:t>
      </w:r>
      <w:r>
        <w:rPr>
          <w:rFonts w:ascii="Cambria" w:hAnsi="Cambria"/>
        </w:rPr>
        <w:t xml:space="preserve"> this mean the costs would be removed from the RA CE calculation and moved into the </w:t>
      </w:r>
      <w:r w:rsidR="00595444">
        <w:rPr>
          <w:rFonts w:ascii="Cambria" w:hAnsi="Cambria"/>
        </w:rPr>
        <w:t>M</w:t>
      </w:r>
      <w:r>
        <w:rPr>
          <w:rFonts w:ascii="Cambria" w:hAnsi="Cambria"/>
        </w:rPr>
        <w:t>T</w:t>
      </w:r>
      <w:r w:rsidR="00595444">
        <w:rPr>
          <w:rFonts w:ascii="Cambria" w:hAnsi="Cambria"/>
        </w:rPr>
        <w:t>I</w:t>
      </w:r>
      <w:r>
        <w:rPr>
          <w:rFonts w:ascii="Cambria" w:hAnsi="Cambria"/>
        </w:rPr>
        <w:t xml:space="preserve"> CE calculation?</w:t>
      </w:r>
    </w:p>
    <w:p w14:paraId="2C45A7B5" w14:textId="2C3662C0" w:rsidR="00595444" w:rsidRPr="00595444" w:rsidRDefault="00FD364F" w:rsidP="00595444">
      <w:pPr>
        <w:pStyle w:val="ListParagraph"/>
        <w:numPr>
          <w:ilvl w:val="1"/>
          <w:numId w:val="17"/>
        </w:numPr>
        <w:rPr>
          <w:rFonts w:ascii="Cambria" w:hAnsi="Cambria"/>
          <w:i/>
          <w:iCs/>
        </w:rPr>
      </w:pPr>
      <w:r w:rsidRPr="00FD364F">
        <w:rPr>
          <w:rFonts w:ascii="Cambria" w:hAnsi="Cambria"/>
          <w:i/>
          <w:iCs/>
        </w:rPr>
        <w:t>This law clearly states that costs and benefits should be included in CE calculations for MTIs where they are logically related</w:t>
      </w:r>
      <w:r w:rsidR="00595444">
        <w:rPr>
          <w:rFonts w:ascii="Cambria" w:hAnsi="Cambria"/>
          <w:i/>
          <w:iCs/>
        </w:rPr>
        <w:t xml:space="preserve"> (we can draw a clear line between MTI activities and cost and benefits vis a vis C&amp;S), with an eye toward no double counting. </w:t>
      </w:r>
    </w:p>
    <w:p w14:paraId="77D4D2B1" w14:textId="386C1A18" w:rsidR="00FD364F" w:rsidRPr="00FD364F" w:rsidRDefault="00FD364F" w:rsidP="00FD364F">
      <w:pPr>
        <w:pStyle w:val="ListParagraph"/>
        <w:numPr>
          <w:ilvl w:val="1"/>
          <w:numId w:val="17"/>
        </w:numPr>
        <w:rPr>
          <w:rFonts w:ascii="Cambria" w:hAnsi="Cambria"/>
          <w:i/>
          <w:iCs/>
        </w:rPr>
      </w:pPr>
      <w:r w:rsidRPr="00FD364F">
        <w:rPr>
          <w:rFonts w:ascii="Cambria" w:hAnsi="Cambria"/>
          <w:i/>
          <w:iCs/>
        </w:rPr>
        <w:lastRenderedPageBreak/>
        <w:t xml:space="preserve">PA portfolio CE calculations </w:t>
      </w:r>
      <w:r w:rsidR="00595444">
        <w:rPr>
          <w:rFonts w:ascii="Cambria" w:hAnsi="Cambria"/>
          <w:i/>
          <w:iCs/>
        </w:rPr>
        <w:t>ex</w:t>
      </w:r>
      <w:r w:rsidRPr="00FD364F">
        <w:rPr>
          <w:rFonts w:ascii="Cambria" w:hAnsi="Cambria"/>
          <w:i/>
          <w:iCs/>
        </w:rPr>
        <w:t>clude the costs and benefits of C&amp;</w:t>
      </w:r>
      <w:r w:rsidR="00595444">
        <w:rPr>
          <w:rFonts w:ascii="Cambria" w:hAnsi="Cambria"/>
          <w:i/>
          <w:iCs/>
        </w:rPr>
        <w:t xml:space="preserve">S, and this is what CPUC uses to make decisions around PA portfolios/budgets (although costs and benefits of C&amp;S are included in ABALs).  This is one overarching reason for moving towards a framework that includes these costs and benefits of C&amp;S in MT. </w:t>
      </w:r>
    </w:p>
    <w:p w14:paraId="399F7F3B" w14:textId="650E27CF" w:rsidR="002B1DD5" w:rsidRPr="00FD364F" w:rsidRDefault="002B1DD5" w:rsidP="004E4053">
      <w:pPr>
        <w:rPr>
          <w:rFonts w:ascii="Cambria" w:hAnsi="Cambria"/>
          <w:i/>
          <w:iCs/>
        </w:rPr>
      </w:pPr>
    </w:p>
    <w:p w14:paraId="6B1A2E73" w14:textId="2B15A3C8" w:rsidR="006E0690" w:rsidRDefault="006E0690" w:rsidP="004E4053">
      <w:pPr>
        <w:rPr>
          <w:rFonts w:ascii="Cambria" w:hAnsi="Cambria"/>
          <w:b/>
          <w:bCs/>
          <w:i/>
          <w:iCs/>
        </w:rPr>
      </w:pPr>
      <w:r w:rsidRPr="006E0690">
        <w:rPr>
          <w:rFonts w:ascii="Cambria" w:hAnsi="Cambria"/>
          <w:b/>
          <w:bCs/>
          <w:i/>
          <w:iCs/>
        </w:rPr>
        <w:t xml:space="preserve">Historic California Savings Attribution Efforts – Lara </w:t>
      </w:r>
      <w:proofErr w:type="spellStart"/>
      <w:r w:rsidRPr="006E0690">
        <w:rPr>
          <w:rFonts w:ascii="Cambria" w:hAnsi="Cambria"/>
          <w:b/>
          <w:bCs/>
          <w:i/>
          <w:iCs/>
        </w:rPr>
        <w:t>Ettenson</w:t>
      </w:r>
      <w:proofErr w:type="spellEnd"/>
      <w:r w:rsidRPr="006E0690">
        <w:rPr>
          <w:rFonts w:ascii="Cambria" w:hAnsi="Cambria"/>
          <w:b/>
          <w:bCs/>
          <w:i/>
          <w:iCs/>
        </w:rPr>
        <w:t>, NRDC</w:t>
      </w:r>
    </w:p>
    <w:p w14:paraId="492E9FB8" w14:textId="1F7FCC6B" w:rsidR="003F4B48" w:rsidRPr="003F4B48" w:rsidRDefault="006E0690" w:rsidP="004E4053">
      <w:pPr>
        <w:rPr>
          <w:rFonts w:ascii="Cambria" w:hAnsi="Cambria"/>
          <w:b/>
          <w:bCs/>
          <w:i/>
          <w:iCs/>
        </w:rPr>
      </w:pPr>
      <w:r>
        <w:rPr>
          <w:rFonts w:ascii="Cambria" w:hAnsi="Cambria"/>
          <w:bCs/>
        </w:rPr>
        <w:t>This presentation is available on the meeting webpage (</w:t>
      </w:r>
      <w:r w:rsidRPr="003C3DA7">
        <w:rPr>
          <w:rFonts w:ascii="Cambria" w:hAnsi="Cambria"/>
          <w:bCs/>
        </w:rPr>
        <w:t xml:space="preserve">see link above, </w:t>
      </w:r>
      <w:r w:rsidRPr="003C3DA7">
        <w:rPr>
          <w:rFonts w:ascii="Cambria" w:hAnsi="Cambria"/>
          <w:bCs/>
          <w:i/>
          <w:iCs/>
        </w:rPr>
        <w:t xml:space="preserve">California C&amp;S Attribution, </w:t>
      </w:r>
      <w:r w:rsidRPr="003C3DA7">
        <w:rPr>
          <w:rFonts w:ascii="Cambria" w:hAnsi="Cambria"/>
          <w:bCs/>
        </w:rPr>
        <w:t>under “Documents Posted After the Meeting”)</w:t>
      </w:r>
      <w:r w:rsidR="003F4B48" w:rsidRPr="003C3DA7">
        <w:rPr>
          <w:rFonts w:ascii="Cambria" w:hAnsi="Cambria"/>
          <w:b/>
          <w:bCs/>
          <w:i/>
          <w:iCs/>
        </w:rPr>
        <w:t xml:space="preserve">. </w:t>
      </w:r>
      <w:r w:rsidR="003F4B48" w:rsidRPr="003C3DA7">
        <w:rPr>
          <w:rFonts w:ascii="Cambria" w:hAnsi="Cambria"/>
        </w:rPr>
        <w:t>There were no comments or questions following this presentation.</w:t>
      </w:r>
    </w:p>
    <w:p w14:paraId="399D5DF7" w14:textId="77777777" w:rsidR="006E0690" w:rsidRDefault="006E0690" w:rsidP="004E4053">
      <w:pPr>
        <w:rPr>
          <w:rFonts w:ascii="Cambria" w:hAnsi="Cambria"/>
          <w:b/>
          <w:bCs/>
          <w:i/>
          <w:iCs/>
        </w:rPr>
      </w:pPr>
    </w:p>
    <w:p w14:paraId="03405EBF" w14:textId="2DB6053B" w:rsidR="006E0690" w:rsidRPr="006E0690" w:rsidRDefault="006E0690" w:rsidP="004E4053">
      <w:pPr>
        <w:rPr>
          <w:rFonts w:ascii="Cambria" w:hAnsi="Cambria"/>
          <w:b/>
          <w:bCs/>
          <w:i/>
          <w:iCs/>
        </w:rPr>
      </w:pPr>
      <w:r w:rsidRPr="006E0690">
        <w:rPr>
          <w:rFonts w:ascii="Cambria" w:hAnsi="Cambria"/>
          <w:b/>
          <w:bCs/>
          <w:i/>
          <w:iCs/>
        </w:rPr>
        <w:t>Discussion</w:t>
      </w:r>
      <w:r w:rsidR="003F4B48">
        <w:rPr>
          <w:rFonts w:ascii="Cambria" w:hAnsi="Cambria"/>
          <w:b/>
          <w:bCs/>
          <w:i/>
          <w:iCs/>
        </w:rPr>
        <w:t xml:space="preserve"> on Savings Attribution Approach in California</w:t>
      </w:r>
      <w:r w:rsidRPr="006E0690">
        <w:rPr>
          <w:rFonts w:ascii="Cambria" w:hAnsi="Cambria"/>
          <w:b/>
          <w:bCs/>
          <w:i/>
          <w:iCs/>
        </w:rPr>
        <w:t>:</w:t>
      </w:r>
    </w:p>
    <w:p w14:paraId="6760C4BD" w14:textId="0FB70CBA" w:rsidR="006E0690" w:rsidRDefault="006E0690" w:rsidP="004E4053">
      <w:pPr>
        <w:rPr>
          <w:rFonts w:ascii="Cambria" w:hAnsi="Cambria"/>
        </w:rPr>
      </w:pPr>
      <w:r w:rsidRPr="006E0690">
        <w:rPr>
          <w:rFonts w:ascii="Cambria" w:hAnsi="Cambria"/>
        </w:rPr>
        <w:t xml:space="preserve">Following these presentations and discussion, J. </w:t>
      </w:r>
      <w:proofErr w:type="spellStart"/>
      <w:r w:rsidRPr="006E0690">
        <w:rPr>
          <w:rFonts w:ascii="Cambria" w:hAnsi="Cambria"/>
        </w:rPr>
        <w:t>Raab</w:t>
      </w:r>
      <w:proofErr w:type="spellEnd"/>
      <w:r w:rsidRPr="006E0690">
        <w:rPr>
          <w:rFonts w:ascii="Cambria" w:hAnsi="Cambria"/>
        </w:rPr>
        <w:t xml:space="preserve"> asked participants to consider potential options for savings attribution between MTIs and </w:t>
      </w:r>
      <w:r w:rsidR="00916107">
        <w:rPr>
          <w:rFonts w:ascii="Cambria" w:hAnsi="Cambria"/>
        </w:rPr>
        <w:t xml:space="preserve">other EE efforts </w:t>
      </w:r>
      <w:r w:rsidRPr="006E0690">
        <w:rPr>
          <w:rFonts w:ascii="Cambria" w:hAnsi="Cambria"/>
        </w:rPr>
        <w:t>in California, and whether either of the options presented (NEEA and Illinois) make sense in California, or whether a third option merits consideration.</w:t>
      </w:r>
      <w:r w:rsidR="003F4B48">
        <w:rPr>
          <w:rFonts w:ascii="Cambria" w:hAnsi="Cambria"/>
        </w:rPr>
        <w:t xml:space="preserve"> Key discussion points included: </w:t>
      </w:r>
    </w:p>
    <w:p w14:paraId="5F29A441" w14:textId="5B8F40F5" w:rsidR="003F4B48" w:rsidRDefault="003F4B48" w:rsidP="004E4053">
      <w:pPr>
        <w:rPr>
          <w:rFonts w:ascii="Cambria" w:hAnsi="Cambria"/>
        </w:rPr>
      </w:pPr>
    </w:p>
    <w:p w14:paraId="21BBCDB3" w14:textId="606D2796" w:rsidR="003F4B48" w:rsidRDefault="003F4B48" w:rsidP="003F4B48">
      <w:pPr>
        <w:pStyle w:val="ListParagraph"/>
        <w:numPr>
          <w:ilvl w:val="0"/>
          <w:numId w:val="18"/>
        </w:numPr>
        <w:rPr>
          <w:rFonts w:ascii="Cambria" w:hAnsi="Cambria"/>
        </w:rPr>
      </w:pPr>
      <w:r>
        <w:rPr>
          <w:rFonts w:ascii="Cambria" w:hAnsi="Cambria"/>
        </w:rPr>
        <w:t xml:space="preserve">Ease of evaluation and simplicity of the approach (perhaps even simpler than used in IL) are critical. </w:t>
      </w:r>
    </w:p>
    <w:p w14:paraId="56947FC8" w14:textId="420395E8" w:rsidR="003F4B48" w:rsidRPr="003F4B48" w:rsidRDefault="003F4B48" w:rsidP="003F4B48">
      <w:pPr>
        <w:pStyle w:val="ListParagraph"/>
        <w:numPr>
          <w:ilvl w:val="1"/>
          <w:numId w:val="18"/>
        </w:numPr>
        <w:rPr>
          <w:rFonts w:ascii="Cambria" w:hAnsi="Cambria"/>
          <w:i/>
          <w:iCs/>
        </w:rPr>
      </w:pPr>
      <w:r w:rsidRPr="003F4B48">
        <w:rPr>
          <w:rFonts w:ascii="Cambria" w:hAnsi="Cambria"/>
          <w:i/>
          <w:iCs/>
        </w:rPr>
        <w:t>Be aware that even approaches that are simple at a high level may be complex in practice.</w:t>
      </w:r>
    </w:p>
    <w:p w14:paraId="0F05C4B9" w14:textId="77CA7C4C" w:rsidR="003F4B48" w:rsidRDefault="003F4B48" w:rsidP="003F4B48">
      <w:pPr>
        <w:pStyle w:val="ListParagraph"/>
        <w:numPr>
          <w:ilvl w:val="0"/>
          <w:numId w:val="18"/>
        </w:numPr>
        <w:rPr>
          <w:rFonts w:ascii="Cambria" w:hAnsi="Cambria"/>
        </w:rPr>
      </w:pPr>
      <w:r>
        <w:rPr>
          <w:rFonts w:ascii="Cambria" w:hAnsi="Cambria"/>
        </w:rPr>
        <w:t>An approach that encourages collaboration towards the goal of accelerating MT is key.</w:t>
      </w:r>
    </w:p>
    <w:p w14:paraId="2E0F6938" w14:textId="3F064675" w:rsidR="003F4B48" w:rsidRDefault="003F4B48" w:rsidP="003F4B48">
      <w:pPr>
        <w:pStyle w:val="ListParagraph"/>
        <w:numPr>
          <w:ilvl w:val="0"/>
          <w:numId w:val="18"/>
        </w:numPr>
        <w:rPr>
          <w:rFonts w:ascii="Cambria" w:hAnsi="Cambria"/>
        </w:rPr>
      </w:pPr>
      <w:r>
        <w:rPr>
          <w:rFonts w:ascii="Cambria" w:hAnsi="Cambria"/>
        </w:rPr>
        <w:t>Unlike other jurisdictions, in CA we tend to put 100% of risk on implementers running Pay-for-Performance programs. Whatever model we pick should not cause additional burden on 3P implementers.</w:t>
      </w:r>
    </w:p>
    <w:p w14:paraId="6EC9D237" w14:textId="6D1A36EC" w:rsidR="003F4B48" w:rsidRDefault="003F4B48" w:rsidP="003F4B48">
      <w:pPr>
        <w:pStyle w:val="ListParagraph"/>
        <w:numPr>
          <w:ilvl w:val="0"/>
          <w:numId w:val="18"/>
        </w:numPr>
        <w:rPr>
          <w:rFonts w:ascii="Cambria" w:hAnsi="Cambria"/>
        </w:rPr>
      </w:pPr>
      <w:r>
        <w:rPr>
          <w:rFonts w:ascii="Cambria" w:hAnsi="Cambria"/>
        </w:rPr>
        <w:t>Agree with the above comments that we should not cause additional burden on 3P implementers, and that simplicity is an important guiding tenant. In addition, when looking at the performance of MTIs v. RAs, it is important to compare them on equal footing, since we don’t want it to look like one type of program is better than another.</w:t>
      </w:r>
    </w:p>
    <w:p w14:paraId="21B9DECB" w14:textId="1F7551EC" w:rsidR="003F4B48" w:rsidRDefault="003F4B48" w:rsidP="003F4B48">
      <w:pPr>
        <w:pStyle w:val="ListParagraph"/>
        <w:numPr>
          <w:ilvl w:val="0"/>
          <w:numId w:val="18"/>
        </w:numPr>
        <w:rPr>
          <w:rFonts w:ascii="Cambria" w:hAnsi="Cambria"/>
        </w:rPr>
      </w:pPr>
      <w:r>
        <w:rPr>
          <w:rFonts w:ascii="Cambria" w:hAnsi="Cambria"/>
        </w:rPr>
        <w:t xml:space="preserve">We should develop a set of guiding principles as we evaluate the merits of different approaches. </w:t>
      </w:r>
    </w:p>
    <w:p w14:paraId="72D49536" w14:textId="467CF525" w:rsidR="003F4B48" w:rsidRDefault="003F4B48" w:rsidP="003F4B48">
      <w:pPr>
        <w:pStyle w:val="ListParagraph"/>
        <w:numPr>
          <w:ilvl w:val="0"/>
          <w:numId w:val="18"/>
        </w:numPr>
        <w:rPr>
          <w:rFonts w:ascii="Cambria" w:hAnsi="Cambria"/>
        </w:rPr>
      </w:pPr>
      <w:r>
        <w:rPr>
          <w:rFonts w:ascii="Cambria" w:hAnsi="Cambria"/>
        </w:rPr>
        <w:t xml:space="preserve">A parallel work stream on incentive stacking in EE/other programs is going on right now, which will deal with similar issues on savings attribution, so this group should look at what has been going on there. </w:t>
      </w:r>
    </w:p>
    <w:p w14:paraId="32D5309B" w14:textId="5C9D264B" w:rsidR="003F4B48" w:rsidRPr="00741E68" w:rsidRDefault="00741E68" w:rsidP="003F4B48">
      <w:pPr>
        <w:pStyle w:val="ListParagraph"/>
        <w:numPr>
          <w:ilvl w:val="0"/>
          <w:numId w:val="18"/>
        </w:numPr>
        <w:rPr>
          <w:rFonts w:ascii="Cambria" w:hAnsi="Cambria"/>
        </w:rPr>
      </w:pPr>
      <w:r w:rsidRPr="00741E68">
        <w:rPr>
          <w:rFonts w:ascii="Cambria" w:hAnsi="Cambria"/>
        </w:rPr>
        <w:t xml:space="preserve">What’s the expected order of magnitude for savings from MT </w:t>
      </w:r>
      <w:r>
        <w:rPr>
          <w:rFonts w:ascii="Cambria" w:hAnsi="Cambria"/>
        </w:rPr>
        <w:t>-</w:t>
      </w:r>
      <w:r w:rsidRPr="00741E68">
        <w:rPr>
          <w:rFonts w:ascii="Cambria" w:hAnsi="Cambria"/>
        </w:rPr>
        <w:t xml:space="preserve"> will </w:t>
      </w:r>
      <w:r>
        <w:rPr>
          <w:rFonts w:ascii="Cambria" w:hAnsi="Cambria"/>
        </w:rPr>
        <w:t>they</w:t>
      </w:r>
      <w:r w:rsidRPr="00741E68">
        <w:rPr>
          <w:rFonts w:ascii="Cambria" w:hAnsi="Cambria"/>
        </w:rPr>
        <w:t xml:space="preserve"> be so large that RA savings may be more of a rounding error?</w:t>
      </w:r>
      <w:r>
        <w:rPr>
          <w:rFonts w:ascii="Cambria" w:hAnsi="Cambria"/>
        </w:rPr>
        <w:t xml:space="preserve"> Given penetration rates of programs and the size of CA this might be the case.</w:t>
      </w:r>
    </w:p>
    <w:p w14:paraId="56396431" w14:textId="77777777" w:rsidR="006E0690" w:rsidRDefault="006E0690" w:rsidP="004E4053">
      <w:pPr>
        <w:rPr>
          <w:rFonts w:ascii="Cambria" w:hAnsi="Cambria" w:cs="Times New Roman (Body CS)"/>
          <w:b/>
          <w:smallCaps/>
          <w:sz w:val="26"/>
          <w:szCs w:val="26"/>
        </w:rPr>
      </w:pPr>
    </w:p>
    <w:p w14:paraId="68DE267C" w14:textId="77777777" w:rsidR="00916107" w:rsidRDefault="00916107" w:rsidP="004E4053">
      <w:pPr>
        <w:rPr>
          <w:rFonts w:ascii="Cambria" w:hAnsi="Cambria" w:cs="Times New Roman (Body CS)"/>
          <w:b/>
          <w:smallCaps/>
          <w:sz w:val="26"/>
          <w:szCs w:val="26"/>
        </w:rPr>
      </w:pPr>
    </w:p>
    <w:p w14:paraId="57C88430" w14:textId="77777777" w:rsidR="00916107" w:rsidRDefault="00916107" w:rsidP="004E4053">
      <w:pPr>
        <w:rPr>
          <w:rFonts w:ascii="Cambria" w:hAnsi="Cambria" w:cs="Times New Roman (Body CS)"/>
          <w:b/>
          <w:smallCaps/>
          <w:sz w:val="26"/>
          <w:szCs w:val="26"/>
        </w:rPr>
      </w:pPr>
    </w:p>
    <w:p w14:paraId="5FF5D528" w14:textId="77777777" w:rsidR="00916107" w:rsidRDefault="00916107" w:rsidP="004E4053">
      <w:pPr>
        <w:rPr>
          <w:rFonts w:ascii="Cambria" w:hAnsi="Cambria" w:cs="Times New Roman (Body CS)"/>
          <w:b/>
          <w:smallCaps/>
          <w:sz w:val="26"/>
          <w:szCs w:val="26"/>
        </w:rPr>
      </w:pPr>
    </w:p>
    <w:p w14:paraId="02173759" w14:textId="77777777" w:rsidR="00916107" w:rsidRDefault="00916107" w:rsidP="004E4053">
      <w:pPr>
        <w:rPr>
          <w:rFonts w:ascii="Cambria" w:hAnsi="Cambria" w:cs="Times New Roman (Body CS)"/>
          <w:b/>
          <w:smallCaps/>
          <w:sz w:val="26"/>
          <w:szCs w:val="26"/>
        </w:rPr>
      </w:pPr>
    </w:p>
    <w:p w14:paraId="1F59A712" w14:textId="77777777" w:rsidR="00916107" w:rsidRDefault="00916107" w:rsidP="004E4053">
      <w:pPr>
        <w:rPr>
          <w:rFonts w:ascii="Cambria" w:hAnsi="Cambria" w:cs="Times New Roman (Body CS)"/>
          <w:b/>
          <w:smallCaps/>
          <w:sz w:val="26"/>
          <w:szCs w:val="26"/>
        </w:rPr>
      </w:pPr>
    </w:p>
    <w:p w14:paraId="36A71D1D" w14:textId="4FB2F479" w:rsidR="00EC62E8" w:rsidRDefault="006E0690" w:rsidP="004E4053">
      <w:pPr>
        <w:rPr>
          <w:rFonts w:ascii="Cambria" w:hAnsi="Cambria" w:cs="Times New Roman (Body CS)"/>
          <w:b/>
          <w:smallCaps/>
          <w:sz w:val="26"/>
          <w:szCs w:val="26"/>
        </w:rPr>
      </w:pPr>
      <w:r>
        <w:rPr>
          <w:rFonts w:ascii="Cambria" w:hAnsi="Cambria" w:cs="Times New Roman (Body CS)"/>
          <w:b/>
          <w:smallCaps/>
          <w:sz w:val="26"/>
          <w:szCs w:val="26"/>
        </w:rPr>
        <w:lastRenderedPageBreak/>
        <w:t>Setting Goals for MTIs and Other EE Efforts</w:t>
      </w:r>
    </w:p>
    <w:p w14:paraId="32F2BAA8" w14:textId="77777777" w:rsidR="006E0690" w:rsidRDefault="006E0690" w:rsidP="0001215F">
      <w:pPr>
        <w:rPr>
          <w:rFonts w:ascii="Cambria" w:hAnsi="Cambria"/>
        </w:rPr>
      </w:pPr>
    </w:p>
    <w:p w14:paraId="139204DA" w14:textId="14FFC344" w:rsidR="006E0690" w:rsidRPr="006E0690" w:rsidRDefault="006E0690" w:rsidP="0001215F">
      <w:pPr>
        <w:rPr>
          <w:rFonts w:ascii="Cambria" w:hAnsi="Cambria"/>
          <w:b/>
          <w:bCs/>
          <w:i/>
          <w:iCs/>
        </w:rPr>
      </w:pPr>
      <w:r w:rsidRPr="006E0690">
        <w:rPr>
          <w:rFonts w:ascii="Cambria" w:hAnsi="Cambria"/>
          <w:b/>
          <w:bCs/>
          <w:i/>
          <w:iCs/>
        </w:rPr>
        <w:t xml:space="preserve">Current CA Approach to Goal Setting and Relationship Between Savings Attribution and Goal Setting – Christie </w:t>
      </w:r>
      <w:proofErr w:type="spellStart"/>
      <w:r w:rsidRPr="006E0690">
        <w:rPr>
          <w:rFonts w:ascii="Cambria" w:hAnsi="Cambria"/>
          <w:b/>
          <w:bCs/>
          <w:i/>
          <w:iCs/>
        </w:rPr>
        <w:t>Torok</w:t>
      </w:r>
      <w:proofErr w:type="spellEnd"/>
      <w:r w:rsidRPr="006E0690">
        <w:rPr>
          <w:rFonts w:ascii="Cambria" w:hAnsi="Cambria"/>
          <w:b/>
          <w:bCs/>
          <w:i/>
          <w:iCs/>
        </w:rPr>
        <w:t>, Energy Division</w:t>
      </w:r>
    </w:p>
    <w:p w14:paraId="13FF94C2" w14:textId="5B951A62" w:rsidR="006E0690" w:rsidRDefault="006E0690" w:rsidP="0001215F">
      <w:pPr>
        <w:rPr>
          <w:rFonts w:ascii="Cambria" w:hAnsi="Cambria"/>
          <w:bCs/>
        </w:rPr>
      </w:pPr>
      <w:r>
        <w:rPr>
          <w:rFonts w:ascii="Cambria" w:hAnsi="Cambria"/>
          <w:bCs/>
        </w:rPr>
        <w:t xml:space="preserve">This presentation is available on the meeting webpage (see link above, </w:t>
      </w:r>
      <w:r w:rsidRPr="006E0690">
        <w:rPr>
          <w:rFonts w:ascii="Cambria" w:hAnsi="Cambria"/>
          <w:bCs/>
          <w:i/>
          <w:iCs/>
        </w:rPr>
        <w:t>MT</w:t>
      </w:r>
      <w:r>
        <w:rPr>
          <w:rFonts w:ascii="Cambria" w:hAnsi="Cambria"/>
          <w:bCs/>
          <w:i/>
          <w:iCs/>
        </w:rPr>
        <w:t xml:space="preserve">WG Slides </w:t>
      </w:r>
      <w:proofErr w:type="spellStart"/>
      <w:r>
        <w:rPr>
          <w:rFonts w:ascii="Cambria" w:hAnsi="Cambria"/>
          <w:bCs/>
          <w:i/>
          <w:iCs/>
        </w:rPr>
        <w:t>Torok</w:t>
      </w:r>
      <w:proofErr w:type="spellEnd"/>
      <w:r>
        <w:rPr>
          <w:rFonts w:ascii="Cambria" w:hAnsi="Cambria"/>
          <w:bCs/>
          <w:i/>
          <w:iCs/>
        </w:rPr>
        <w:t xml:space="preserve"> CPUC ppt (8.10.20), Slide 5, </w:t>
      </w:r>
      <w:r>
        <w:rPr>
          <w:rFonts w:ascii="Cambria" w:hAnsi="Cambria"/>
          <w:bCs/>
        </w:rPr>
        <w:t>under “Documents Posted Before the Meeting”)</w:t>
      </w:r>
      <w:r w:rsidR="008F4A4B">
        <w:rPr>
          <w:rFonts w:ascii="Cambria" w:hAnsi="Cambria"/>
          <w:bCs/>
        </w:rPr>
        <w:t>. Members posed the following clarifying questions and comments on this presentation:</w:t>
      </w:r>
    </w:p>
    <w:p w14:paraId="02220137" w14:textId="6D9545C3" w:rsidR="008F4A4B" w:rsidRDefault="008F4A4B" w:rsidP="0001215F">
      <w:pPr>
        <w:rPr>
          <w:rFonts w:ascii="Cambria" w:hAnsi="Cambria"/>
          <w:bCs/>
        </w:rPr>
      </w:pPr>
    </w:p>
    <w:p w14:paraId="746D299E" w14:textId="1FF4F1E0" w:rsidR="008F4A4B" w:rsidRDefault="008F4A4B" w:rsidP="008F4A4B">
      <w:pPr>
        <w:pStyle w:val="ListParagraph"/>
        <w:numPr>
          <w:ilvl w:val="0"/>
          <w:numId w:val="19"/>
        </w:numPr>
        <w:rPr>
          <w:rFonts w:ascii="Cambria" w:hAnsi="Cambria"/>
          <w:bCs/>
        </w:rPr>
      </w:pPr>
      <w:r>
        <w:rPr>
          <w:rFonts w:ascii="Cambria" w:hAnsi="Cambria"/>
          <w:bCs/>
        </w:rPr>
        <w:t>There is an assumption that once there is code adoption our work is done -</w:t>
      </w:r>
      <w:r w:rsidR="00AA0D53">
        <w:rPr>
          <w:rFonts w:ascii="Cambria" w:hAnsi="Cambria"/>
          <w:bCs/>
        </w:rPr>
        <w:t xml:space="preserve"> </w:t>
      </w:r>
      <w:r>
        <w:rPr>
          <w:rFonts w:ascii="Cambria" w:hAnsi="Cambria"/>
          <w:bCs/>
        </w:rPr>
        <w:t xml:space="preserve">but in </w:t>
      </w:r>
      <w:r w:rsidR="00AA0D53">
        <w:rPr>
          <w:rFonts w:ascii="Cambria" w:hAnsi="Cambria"/>
          <w:bCs/>
        </w:rPr>
        <w:t>fact</w:t>
      </w:r>
      <w:r>
        <w:rPr>
          <w:rFonts w:ascii="Cambria" w:hAnsi="Cambria"/>
          <w:bCs/>
        </w:rPr>
        <w:t xml:space="preserve"> once code has been adopted there is </w:t>
      </w:r>
      <w:r w:rsidR="00AA0D53">
        <w:rPr>
          <w:rFonts w:ascii="Cambria" w:hAnsi="Cambria"/>
          <w:bCs/>
        </w:rPr>
        <w:t>typically</w:t>
      </w:r>
      <w:r>
        <w:rPr>
          <w:rFonts w:ascii="Cambria" w:hAnsi="Cambria"/>
          <w:bCs/>
        </w:rPr>
        <w:t xml:space="preserve"> more potential to be had, and we should continue to claim savings.</w:t>
      </w:r>
    </w:p>
    <w:p w14:paraId="12A23F2F" w14:textId="0E69E530" w:rsidR="008F4A4B" w:rsidRDefault="008F4A4B" w:rsidP="008F4A4B">
      <w:pPr>
        <w:pStyle w:val="ListParagraph"/>
        <w:numPr>
          <w:ilvl w:val="0"/>
          <w:numId w:val="19"/>
        </w:numPr>
        <w:rPr>
          <w:rFonts w:ascii="Cambria" w:hAnsi="Cambria"/>
          <w:bCs/>
        </w:rPr>
      </w:pPr>
      <w:r>
        <w:rPr>
          <w:rFonts w:ascii="Cambria" w:hAnsi="Cambria"/>
          <w:bCs/>
        </w:rPr>
        <w:t>Some non-resource programs should in fact be categorized as resource</w:t>
      </w:r>
      <w:r w:rsidR="00DA5CE5">
        <w:rPr>
          <w:rFonts w:ascii="Cambria" w:hAnsi="Cambria"/>
          <w:bCs/>
        </w:rPr>
        <w:t>s</w:t>
      </w:r>
      <w:r>
        <w:rPr>
          <w:rFonts w:ascii="Cambria" w:hAnsi="Cambria"/>
          <w:bCs/>
        </w:rPr>
        <w:t xml:space="preserve">, and some should be categorized as MT. What is the thinking about how to categorize non-resource moving forward? </w:t>
      </w:r>
    </w:p>
    <w:p w14:paraId="3497221A" w14:textId="711CCABC" w:rsidR="008F4A4B" w:rsidRDefault="008F4A4B" w:rsidP="008F4A4B">
      <w:pPr>
        <w:pStyle w:val="ListParagraph"/>
        <w:numPr>
          <w:ilvl w:val="1"/>
          <w:numId w:val="19"/>
        </w:numPr>
        <w:rPr>
          <w:rFonts w:ascii="Cambria" w:hAnsi="Cambria"/>
          <w:bCs/>
          <w:i/>
          <w:iCs/>
        </w:rPr>
      </w:pPr>
      <w:r w:rsidRPr="008F4A4B">
        <w:rPr>
          <w:rFonts w:ascii="Cambria" w:hAnsi="Cambria"/>
          <w:bCs/>
          <w:i/>
          <w:iCs/>
        </w:rPr>
        <w:t>We should pool from all the tools we have at our disposal (including non-resource programs) to address barriers in a given market.</w:t>
      </w:r>
    </w:p>
    <w:p w14:paraId="789A8D4C" w14:textId="4373D0B2" w:rsidR="008F4A4B" w:rsidRPr="008F4A4B" w:rsidRDefault="008F4A4B" w:rsidP="008F4A4B">
      <w:pPr>
        <w:pStyle w:val="ListParagraph"/>
        <w:numPr>
          <w:ilvl w:val="0"/>
          <w:numId w:val="19"/>
        </w:numPr>
        <w:rPr>
          <w:rFonts w:ascii="Cambria" w:hAnsi="Cambria"/>
          <w:bCs/>
          <w:i/>
          <w:iCs/>
        </w:rPr>
      </w:pPr>
      <w:r>
        <w:rPr>
          <w:rFonts w:ascii="Cambria" w:hAnsi="Cambria"/>
          <w:bCs/>
        </w:rPr>
        <w:t xml:space="preserve">Is the end goal of MT to result in C&amp;S, or to truly transform the market to the point where C&amp;S or other forms of market intervention are no longer needed? </w:t>
      </w:r>
    </w:p>
    <w:p w14:paraId="4D1A07D1" w14:textId="31EAACB2" w:rsidR="008F4A4B" w:rsidRDefault="008F4A4B" w:rsidP="008F4A4B">
      <w:pPr>
        <w:pStyle w:val="ListParagraph"/>
        <w:numPr>
          <w:ilvl w:val="1"/>
          <w:numId w:val="19"/>
        </w:numPr>
        <w:rPr>
          <w:rFonts w:ascii="Cambria" w:hAnsi="Cambria"/>
          <w:bCs/>
          <w:i/>
          <w:iCs/>
        </w:rPr>
      </w:pPr>
      <w:r w:rsidRPr="008F4A4B">
        <w:rPr>
          <w:rFonts w:ascii="Cambria" w:hAnsi="Cambria"/>
          <w:bCs/>
          <w:i/>
          <w:iCs/>
        </w:rPr>
        <w:t>It’s not a requirement that any MTI end in adoption of C&amp;S</w:t>
      </w:r>
      <w:r>
        <w:rPr>
          <w:rFonts w:ascii="Cambria" w:hAnsi="Cambria"/>
          <w:bCs/>
          <w:i/>
          <w:iCs/>
        </w:rPr>
        <w:t xml:space="preserve"> </w:t>
      </w:r>
    </w:p>
    <w:p w14:paraId="0E81F421" w14:textId="76CD95E3" w:rsidR="008F4A4B" w:rsidRPr="008F4A4B" w:rsidRDefault="008F4A4B" w:rsidP="008F4A4B">
      <w:pPr>
        <w:pStyle w:val="ListParagraph"/>
        <w:numPr>
          <w:ilvl w:val="0"/>
          <w:numId w:val="19"/>
        </w:numPr>
        <w:rPr>
          <w:rFonts w:ascii="Cambria" w:hAnsi="Cambria"/>
          <w:bCs/>
          <w:i/>
          <w:iCs/>
        </w:rPr>
      </w:pPr>
      <w:r>
        <w:rPr>
          <w:rFonts w:ascii="Cambria" w:hAnsi="Cambria"/>
          <w:bCs/>
        </w:rPr>
        <w:t xml:space="preserve">Note that standards don’t go into effect until 18 months after they are adopted, and only for buildings that are not yet permitted, so adoption is in fact more gradual/staggered than is captured in the attribution (and as is shown on this graph). </w:t>
      </w:r>
    </w:p>
    <w:p w14:paraId="47FC12A3" w14:textId="45CF1906" w:rsidR="008F4A4B" w:rsidRPr="001B7BB9" w:rsidRDefault="008F4A4B" w:rsidP="008F4A4B">
      <w:pPr>
        <w:pStyle w:val="ListParagraph"/>
        <w:numPr>
          <w:ilvl w:val="0"/>
          <w:numId w:val="19"/>
        </w:numPr>
        <w:rPr>
          <w:rFonts w:ascii="Cambria" w:hAnsi="Cambria"/>
          <w:bCs/>
          <w:i/>
          <w:iCs/>
        </w:rPr>
      </w:pPr>
      <w:r>
        <w:rPr>
          <w:rFonts w:ascii="Cambria" w:hAnsi="Cambria"/>
          <w:bCs/>
        </w:rPr>
        <w:t xml:space="preserve">C&amp;S can promote MT through compliance options, because if they are adopted more </w:t>
      </w:r>
      <w:proofErr w:type="gramStart"/>
      <w:r>
        <w:rPr>
          <w:rFonts w:ascii="Cambria" w:hAnsi="Cambria"/>
          <w:bCs/>
        </w:rPr>
        <w:t>broadly</w:t>
      </w:r>
      <w:proofErr w:type="gramEnd"/>
      <w:r>
        <w:rPr>
          <w:rFonts w:ascii="Cambria" w:hAnsi="Cambria"/>
          <w:bCs/>
        </w:rPr>
        <w:t xml:space="preserve"> they become proscriptive and raise the baseline stringency of the code. </w:t>
      </w:r>
    </w:p>
    <w:p w14:paraId="34FFC330" w14:textId="1B321ECB" w:rsidR="001B7BB9" w:rsidRPr="001B7BB9" w:rsidRDefault="001B7BB9" w:rsidP="008F4A4B">
      <w:pPr>
        <w:pStyle w:val="ListParagraph"/>
        <w:numPr>
          <w:ilvl w:val="0"/>
          <w:numId w:val="19"/>
        </w:numPr>
        <w:rPr>
          <w:rFonts w:ascii="Cambria" w:hAnsi="Cambria"/>
          <w:bCs/>
          <w:i/>
          <w:iCs/>
        </w:rPr>
      </w:pPr>
      <w:r>
        <w:rPr>
          <w:rFonts w:ascii="Cambria" w:hAnsi="Cambria"/>
          <w:bCs/>
        </w:rPr>
        <w:t xml:space="preserve">Why would a C&amp;S RA program need an MT program to support incorporation into code rather than a code advocacy program? </w:t>
      </w:r>
    </w:p>
    <w:p w14:paraId="6CD41853" w14:textId="0EF1C8EE" w:rsidR="001B7BB9" w:rsidRPr="008F4A4B" w:rsidRDefault="001B7BB9" w:rsidP="001B7BB9">
      <w:pPr>
        <w:pStyle w:val="ListParagraph"/>
        <w:numPr>
          <w:ilvl w:val="1"/>
          <w:numId w:val="19"/>
        </w:numPr>
        <w:rPr>
          <w:rFonts w:ascii="Cambria" w:hAnsi="Cambria"/>
          <w:bCs/>
          <w:i/>
          <w:iCs/>
        </w:rPr>
      </w:pPr>
      <w:r>
        <w:rPr>
          <w:rFonts w:ascii="Cambria" w:hAnsi="Cambria"/>
          <w:bCs/>
          <w:i/>
          <w:iCs/>
        </w:rPr>
        <w:t xml:space="preserve">In some </w:t>
      </w:r>
      <w:proofErr w:type="gramStart"/>
      <w:r>
        <w:rPr>
          <w:rFonts w:ascii="Cambria" w:hAnsi="Cambria"/>
          <w:bCs/>
          <w:i/>
          <w:iCs/>
        </w:rPr>
        <w:t>cases</w:t>
      </w:r>
      <w:proofErr w:type="gramEnd"/>
      <w:r>
        <w:rPr>
          <w:rFonts w:ascii="Cambria" w:hAnsi="Cambria"/>
          <w:bCs/>
          <w:i/>
          <w:iCs/>
        </w:rPr>
        <w:t xml:space="preserve"> you could work either through code advocacy or MT, but you need to develop a specific program and allocate resources towards it. In other </w:t>
      </w:r>
      <w:proofErr w:type="gramStart"/>
      <w:r>
        <w:rPr>
          <w:rFonts w:ascii="Cambria" w:hAnsi="Cambria"/>
          <w:bCs/>
          <w:i/>
          <w:iCs/>
        </w:rPr>
        <w:t>cases</w:t>
      </w:r>
      <w:proofErr w:type="gramEnd"/>
      <w:r>
        <w:rPr>
          <w:rFonts w:ascii="Cambria" w:hAnsi="Cambria"/>
          <w:bCs/>
          <w:i/>
          <w:iCs/>
        </w:rPr>
        <w:t xml:space="preserve"> there may be </w:t>
      </w:r>
      <w:r w:rsidR="00DA5CE5">
        <w:rPr>
          <w:rFonts w:ascii="Cambria" w:hAnsi="Cambria"/>
          <w:bCs/>
          <w:i/>
          <w:iCs/>
        </w:rPr>
        <w:t>emerging technologies (</w:t>
      </w:r>
      <w:r>
        <w:rPr>
          <w:rFonts w:ascii="Cambria" w:hAnsi="Cambria"/>
          <w:bCs/>
          <w:i/>
          <w:iCs/>
        </w:rPr>
        <w:t>ET</w:t>
      </w:r>
      <w:r w:rsidR="00DA5CE5">
        <w:rPr>
          <w:rFonts w:ascii="Cambria" w:hAnsi="Cambria"/>
          <w:bCs/>
          <w:i/>
          <w:iCs/>
        </w:rPr>
        <w:t>)</w:t>
      </w:r>
      <w:r>
        <w:rPr>
          <w:rFonts w:ascii="Cambria" w:hAnsi="Cambria"/>
          <w:bCs/>
          <w:i/>
          <w:iCs/>
        </w:rPr>
        <w:t xml:space="preserve"> coming into the market which dovetails with existing RA programs, and MT can work on coordinating these efforts. </w:t>
      </w:r>
    </w:p>
    <w:p w14:paraId="32B1191B" w14:textId="77777777" w:rsidR="006E0690" w:rsidRDefault="006E0690" w:rsidP="0001215F">
      <w:pPr>
        <w:rPr>
          <w:rFonts w:ascii="Cambria" w:hAnsi="Cambria"/>
          <w:b/>
          <w:bCs/>
        </w:rPr>
      </w:pPr>
    </w:p>
    <w:p w14:paraId="0028BDAC" w14:textId="0261B8AF" w:rsidR="006E0690" w:rsidRPr="006E0690" w:rsidRDefault="006E0690" w:rsidP="0001215F">
      <w:pPr>
        <w:rPr>
          <w:rFonts w:ascii="Cambria" w:hAnsi="Cambria"/>
          <w:b/>
          <w:bCs/>
          <w:i/>
          <w:iCs/>
        </w:rPr>
      </w:pPr>
      <w:r w:rsidRPr="006E0690">
        <w:rPr>
          <w:rFonts w:ascii="Cambria" w:hAnsi="Cambria"/>
          <w:b/>
          <w:bCs/>
          <w:i/>
          <w:iCs/>
        </w:rPr>
        <w:t>NEEA Goal Setting for MTIs – Jeff Harris, NEEA</w:t>
      </w:r>
    </w:p>
    <w:p w14:paraId="79F6CF63" w14:textId="46A86F3D" w:rsidR="006E0690" w:rsidRDefault="006E0690" w:rsidP="0001215F">
      <w:pPr>
        <w:rPr>
          <w:rFonts w:ascii="Cambria" w:hAnsi="Cambria"/>
          <w:bCs/>
        </w:rPr>
      </w:pPr>
      <w:r>
        <w:rPr>
          <w:rFonts w:ascii="Cambria" w:hAnsi="Cambria"/>
          <w:bCs/>
        </w:rPr>
        <w:t xml:space="preserve">This presentation is available on the meeting webpage (see link above, </w:t>
      </w:r>
      <w:r>
        <w:rPr>
          <w:rFonts w:ascii="Cambria" w:hAnsi="Cambria"/>
          <w:bCs/>
          <w:i/>
          <w:iCs/>
        </w:rPr>
        <w:t xml:space="preserve">NEEA Goal Setting for MTIs ppt (7.17.20), </w:t>
      </w:r>
      <w:r>
        <w:rPr>
          <w:rFonts w:ascii="Cambria" w:hAnsi="Cambria"/>
          <w:bCs/>
        </w:rPr>
        <w:t>under “Documents Posted Before the Meeting”)</w:t>
      </w:r>
    </w:p>
    <w:p w14:paraId="0CD4549E" w14:textId="77777777" w:rsidR="006E0690" w:rsidRDefault="006E0690" w:rsidP="0001215F">
      <w:pPr>
        <w:rPr>
          <w:rFonts w:ascii="Cambria" w:hAnsi="Cambria"/>
        </w:rPr>
      </w:pPr>
    </w:p>
    <w:p w14:paraId="7FB80911" w14:textId="1F4A03AB" w:rsidR="006E0690" w:rsidRPr="006E0690" w:rsidRDefault="006E0690" w:rsidP="0001215F">
      <w:pPr>
        <w:rPr>
          <w:rFonts w:ascii="Cambria" w:hAnsi="Cambria"/>
          <w:b/>
          <w:bCs/>
          <w:i/>
          <w:iCs/>
        </w:rPr>
      </w:pPr>
      <w:r w:rsidRPr="006E0690">
        <w:rPr>
          <w:rFonts w:ascii="Cambria" w:hAnsi="Cambria"/>
          <w:b/>
          <w:bCs/>
          <w:i/>
          <w:iCs/>
        </w:rPr>
        <w:t xml:space="preserve">MTWG Goals from Illinois </w:t>
      </w:r>
      <w:r>
        <w:rPr>
          <w:rFonts w:ascii="Cambria" w:hAnsi="Cambria"/>
          <w:b/>
          <w:bCs/>
          <w:i/>
          <w:iCs/>
        </w:rPr>
        <w:t>– Margie Gardner, Resource Innovations</w:t>
      </w:r>
    </w:p>
    <w:p w14:paraId="53ECB529" w14:textId="1B06509C" w:rsidR="006E0690" w:rsidRDefault="006E0690" w:rsidP="0001215F">
      <w:pPr>
        <w:rPr>
          <w:rFonts w:ascii="Cambria" w:hAnsi="Cambria"/>
          <w:bCs/>
        </w:rPr>
      </w:pPr>
      <w:r>
        <w:rPr>
          <w:rFonts w:ascii="Cambria" w:hAnsi="Cambria"/>
          <w:bCs/>
        </w:rPr>
        <w:t xml:space="preserve">This presentation is available on the meeting webpage (see link above, </w:t>
      </w:r>
      <w:r w:rsidRPr="006E0690">
        <w:rPr>
          <w:rFonts w:ascii="Cambria" w:hAnsi="Cambria"/>
          <w:bCs/>
          <w:i/>
          <w:iCs/>
        </w:rPr>
        <w:t>MT</w:t>
      </w:r>
      <w:r>
        <w:rPr>
          <w:rFonts w:ascii="Cambria" w:hAnsi="Cambria"/>
          <w:bCs/>
          <w:i/>
          <w:iCs/>
        </w:rPr>
        <w:t xml:space="preserve">WG Goals from Illinois ppt (8.11.20), </w:t>
      </w:r>
      <w:r>
        <w:rPr>
          <w:rFonts w:ascii="Cambria" w:hAnsi="Cambria"/>
          <w:bCs/>
        </w:rPr>
        <w:t>under “Documents Posted Before the Meeting”)</w:t>
      </w:r>
    </w:p>
    <w:p w14:paraId="2C0B842C" w14:textId="47791BEA" w:rsidR="00B631F1" w:rsidRDefault="00B631F1">
      <w:pPr>
        <w:rPr>
          <w:rFonts w:ascii="Cambria" w:hAnsi="Cambria"/>
        </w:rPr>
      </w:pPr>
    </w:p>
    <w:p w14:paraId="63E2689E" w14:textId="77777777" w:rsidR="006E0690" w:rsidRPr="006E0690" w:rsidRDefault="006E0690" w:rsidP="006E0690">
      <w:pPr>
        <w:rPr>
          <w:rFonts w:ascii="Cambria" w:hAnsi="Cambria"/>
          <w:b/>
          <w:bCs/>
          <w:i/>
          <w:iCs/>
        </w:rPr>
      </w:pPr>
      <w:r w:rsidRPr="006E0690">
        <w:rPr>
          <w:rFonts w:ascii="Cambria" w:hAnsi="Cambria"/>
          <w:b/>
          <w:bCs/>
          <w:i/>
          <w:iCs/>
        </w:rPr>
        <w:t>Discussion:</w:t>
      </w:r>
    </w:p>
    <w:p w14:paraId="7FD454C7" w14:textId="12EFEBDB" w:rsidR="006E0690" w:rsidRPr="006E0690" w:rsidRDefault="006E0690" w:rsidP="006E0690">
      <w:pPr>
        <w:rPr>
          <w:rFonts w:ascii="Cambria" w:hAnsi="Cambria"/>
        </w:rPr>
      </w:pPr>
      <w:r w:rsidRPr="006E0690">
        <w:rPr>
          <w:rFonts w:ascii="Cambria" w:hAnsi="Cambria"/>
        </w:rPr>
        <w:t xml:space="preserve">Following these presentations, J. </w:t>
      </w:r>
      <w:proofErr w:type="spellStart"/>
      <w:r w:rsidRPr="006E0690">
        <w:rPr>
          <w:rFonts w:ascii="Cambria" w:hAnsi="Cambria"/>
        </w:rPr>
        <w:t>Raab</w:t>
      </w:r>
      <w:proofErr w:type="spellEnd"/>
      <w:r w:rsidRPr="006E0690">
        <w:rPr>
          <w:rFonts w:ascii="Cambria" w:hAnsi="Cambria"/>
        </w:rPr>
        <w:t xml:space="preserve"> asked participants to consider potential options for </w:t>
      </w:r>
      <w:r>
        <w:rPr>
          <w:rFonts w:ascii="Cambria" w:hAnsi="Cambria"/>
        </w:rPr>
        <w:t>goal setting</w:t>
      </w:r>
      <w:r w:rsidRPr="006E0690">
        <w:rPr>
          <w:rFonts w:ascii="Cambria" w:hAnsi="Cambria"/>
        </w:rPr>
        <w:t xml:space="preserve"> </w:t>
      </w:r>
      <w:r>
        <w:rPr>
          <w:rFonts w:ascii="Cambria" w:hAnsi="Cambria"/>
        </w:rPr>
        <w:t>for</w:t>
      </w:r>
      <w:r w:rsidRPr="006E0690">
        <w:rPr>
          <w:rFonts w:ascii="Cambria" w:hAnsi="Cambria"/>
        </w:rPr>
        <w:t xml:space="preserve"> </w:t>
      </w:r>
      <w:r w:rsidRPr="00DB54DF">
        <w:rPr>
          <w:rFonts w:ascii="Cambria" w:hAnsi="Cambria"/>
        </w:rPr>
        <w:t>MTIs and RAs in California</w:t>
      </w:r>
      <w:r w:rsidRPr="006E0690">
        <w:rPr>
          <w:rFonts w:ascii="Cambria" w:hAnsi="Cambria"/>
        </w:rPr>
        <w:t xml:space="preserve">, and </w:t>
      </w:r>
      <w:r>
        <w:rPr>
          <w:rFonts w:ascii="Cambria" w:hAnsi="Cambria"/>
        </w:rPr>
        <w:t xml:space="preserve">what approach makes sense for California. </w:t>
      </w:r>
    </w:p>
    <w:p w14:paraId="0C30C58A" w14:textId="1937DCFE" w:rsidR="006E0690" w:rsidRDefault="006E0690">
      <w:pPr>
        <w:rPr>
          <w:rFonts w:ascii="Cambria" w:hAnsi="Cambria"/>
        </w:rPr>
      </w:pPr>
    </w:p>
    <w:p w14:paraId="0F25CB1A" w14:textId="242F7B04" w:rsidR="00AA0D53" w:rsidRDefault="00AA0D53" w:rsidP="00AA0D53">
      <w:pPr>
        <w:pStyle w:val="ListParagraph"/>
        <w:numPr>
          <w:ilvl w:val="0"/>
          <w:numId w:val="20"/>
        </w:numPr>
        <w:rPr>
          <w:rFonts w:ascii="Cambria" w:hAnsi="Cambria"/>
        </w:rPr>
      </w:pPr>
      <w:r>
        <w:rPr>
          <w:rFonts w:ascii="Cambria" w:hAnsi="Cambria"/>
        </w:rPr>
        <w:lastRenderedPageBreak/>
        <w:t xml:space="preserve">NEAA’s approach to EE sounds very similar to California’s, which drives home the point that it will be difficult to distinguish MTI from RA type programs. </w:t>
      </w:r>
    </w:p>
    <w:p w14:paraId="4C8F0CDD" w14:textId="1135BA85" w:rsidR="00AA0D53" w:rsidRDefault="00AA0D53" w:rsidP="00AA0D53">
      <w:pPr>
        <w:pStyle w:val="ListParagraph"/>
        <w:numPr>
          <w:ilvl w:val="1"/>
          <w:numId w:val="20"/>
        </w:numPr>
        <w:rPr>
          <w:rFonts w:ascii="Cambria" w:hAnsi="Cambria"/>
          <w:i/>
          <w:iCs/>
        </w:rPr>
      </w:pPr>
      <w:r w:rsidRPr="00AA0D53">
        <w:rPr>
          <w:rFonts w:ascii="Cambria" w:hAnsi="Cambria"/>
          <w:i/>
          <w:iCs/>
        </w:rPr>
        <w:t xml:space="preserve">Yes, there is a lot of complexity, but keep in mind that the MT framework can also help to provide a cohesive bridge between the many programs in light of existing/changing policies, and help provide what the market needs to advance. </w:t>
      </w:r>
    </w:p>
    <w:p w14:paraId="554135E4" w14:textId="1406C680" w:rsidR="00AA0D53" w:rsidRDefault="00AA0D53" w:rsidP="00AA0D53">
      <w:pPr>
        <w:pStyle w:val="ListParagraph"/>
        <w:numPr>
          <w:ilvl w:val="1"/>
          <w:numId w:val="20"/>
        </w:numPr>
        <w:rPr>
          <w:rFonts w:ascii="Cambria" w:hAnsi="Cambria"/>
          <w:i/>
          <w:iCs/>
        </w:rPr>
      </w:pPr>
      <w:r>
        <w:rPr>
          <w:rFonts w:ascii="Cambria" w:hAnsi="Cambria"/>
          <w:i/>
          <w:iCs/>
        </w:rPr>
        <w:t>What distinguishes MT from RA is whether the program/logic model is creating leverage/lasting change in the marketplace.</w:t>
      </w:r>
    </w:p>
    <w:p w14:paraId="62F9E973" w14:textId="002E7D68" w:rsidR="00AA0D53" w:rsidRDefault="00AA0D53" w:rsidP="00AA0D53">
      <w:pPr>
        <w:pStyle w:val="ListParagraph"/>
        <w:numPr>
          <w:ilvl w:val="1"/>
          <w:numId w:val="20"/>
        </w:numPr>
        <w:rPr>
          <w:rFonts w:ascii="Cambria" w:hAnsi="Cambria"/>
          <w:i/>
          <w:iCs/>
        </w:rPr>
      </w:pPr>
      <w:r>
        <w:rPr>
          <w:rFonts w:ascii="Cambria" w:hAnsi="Cambria"/>
          <w:i/>
          <w:iCs/>
        </w:rPr>
        <w:t>I envision RAs as steps in the broader MTIs, and hope we can find ways to tweak RAs to achieve broader impact.</w:t>
      </w:r>
    </w:p>
    <w:p w14:paraId="3F934E75" w14:textId="3E8F54A8" w:rsidR="00AA0D53" w:rsidRPr="00AA0D53" w:rsidRDefault="00AA0D53" w:rsidP="00AA0D53">
      <w:pPr>
        <w:pStyle w:val="ListParagraph"/>
        <w:numPr>
          <w:ilvl w:val="1"/>
          <w:numId w:val="20"/>
        </w:numPr>
        <w:rPr>
          <w:rFonts w:ascii="Cambria" w:hAnsi="Cambria"/>
          <w:i/>
          <w:iCs/>
        </w:rPr>
      </w:pPr>
      <w:r>
        <w:rPr>
          <w:rFonts w:ascii="Cambria" w:hAnsi="Cambria"/>
          <w:i/>
          <w:iCs/>
        </w:rPr>
        <w:t xml:space="preserve">The position of the MTA is to run strategic market plans across an array of programs (e.g. all lighting programs across </w:t>
      </w:r>
      <w:r w:rsidRPr="00744128">
        <w:rPr>
          <w:rFonts w:ascii="Cambria" w:hAnsi="Cambria"/>
          <w:i/>
          <w:iCs/>
        </w:rPr>
        <w:t xml:space="preserve">all PAs), to integrate MT into those markets. MT should raise the level of the market and thereby lead to increased savings among both RAs and MTIs. </w:t>
      </w:r>
    </w:p>
    <w:p w14:paraId="7A1B3431" w14:textId="00AE4479" w:rsidR="006E0690" w:rsidRDefault="006E0690">
      <w:pPr>
        <w:rPr>
          <w:rFonts w:ascii="Cambria" w:hAnsi="Cambria"/>
        </w:rPr>
      </w:pPr>
    </w:p>
    <w:p w14:paraId="53CBF7DC" w14:textId="6D33DCAD" w:rsidR="006E0690" w:rsidRDefault="006E0690" w:rsidP="006E0690">
      <w:pPr>
        <w:rPr>
          <w:rFonts w:ascii="Cambria" w:hAnsi="Cambria" w:cs="Times New Roman (Body CS)"/>
          <w:b/>
          <w:smallCaps/>
          <w:sz w:val="26"/>
          <w:szCs w:val="26"/>
        </w:rPr>
      </w:pPr>
      <w:r>
        <w:rPr>
          <w:rFonts w:ascii="Cambria" w:hAnsi="Cambria" w:cs="Times New Roman (Body CS)"/>
          <w:b/>
          <w:smallCaps/>
          <w:sz w:val="26"/>
          <w:szCs w:val="26"/>
        </w:rPr>
        <w:t xml:space="preserve">Review and Revise Proposed MTWG Workplan </w:t>
      </w:r>
    </w:p>
    <w:p w14:paraId="3885956C" w14:textId="3191A779" w:rsidR="006E0690" w:rsidRDefault="005D462B">
      <w:pPr>
        <w:rPr>
          <w:rFonts w:ascii="Cambria" w:hAnsi="Cambria"/>
        </w:rPr>
      </w:pPr>
      <w:r>
        <w:rPr>
          <w:rFonts w:ascii="Cambria" w:hAnsi="Cambria"/>
        </w:rPr>
        <w:t xml:space="preserve">J. </w:t>
      </w:r>
      <w:proofErr w:type="spellStart"/>
      <w:r>
        <w:rPr>
          <w:rFonts w:ascii="Cambria" w:hAnsi="Cambria"/>
        </w:rPr>
        <w:t>Raab</w:t>
      </w:r>
      <w:proofErr w:type="spellEnd"/>
      <w:r>
        <w:rPr>
          <w:rFonts w:ascii="Cambria" w:hAnsi="Cambria"/>
        </w:rPr>
        <w:t xml:space="preserve"> next presented the proposed multi-meeting strategy for this working group. </w:t>
      </w:r>
      <w:r w:rsidR="006E0690">
        <w:rPr>
          <w:rFonts w:ascii="Cambria" w:hAnsi="Cambria"/>
        </w:rPr>
        <w:t xml:space="preserve">This </w:t>
      </w:r>
      <w:r>
        <w:rPr>
          <w:rFonts w:ascii="Cambria" w:hAnsi="Cambria"/>
        </w:rPr>
        <w:t>document</w:t>
      </w:r>
      <w:r w:rsidR="006E0690">
        <w:rPr>
          <w:rFonts w:ascii="Cambria" w:hAnsi="Cambria"/>
        </w:rPr>
        <w:t xml:space="preserve"> is available on the meeting webpage (see link above, </w:t>
      </w:r>
      <w:r w:rsidR="006E0690" w:rsidRPr="006E0690">
        <w:rPr>
          <w:rFonts w:ascii="Cambria" w:hAnsi="Cambria"/>
          <w:i/>
          <w:iCs/>
        </w:rPr>
        <w:t>MTWG Part 2 Workplan Draft (7.23.20)</w:t>
      </w:r>
      <w:r w:rsidR="006E0690">
        <w:rPr>
          <w:rFonts w:ascii="Cambria" w:hAnsi="Cambria"/>
        </w:rPr>
        <w:t xml:space="preserve">, under </w:t>
      </w:r>
      <w:r w:rsidR="006E0690">
        <w:rPr>
          <w:rFonts w:ascii="Cambria" w:hAnsi="Cambria"/>
          <w:bCs/>
        </w:rPr>
        <w:t>“Documents Posted Before the Meeting”).</w:t>
      </w:r>
    </w:p>
    <w:p w14:paraId="6DF7A1FE" w14:textId="7A48EC44" w:rsidR="006E0690" w:rsidRDefault="006E0690">
      <w:pPr>
        <w:rPr>
          <w:rFonts w:ascii="Cambria" w:hAnsi="Cambria"/>
        </w:rPr>
      </w:pPr>
    </w:p>
    <w:p w14:paraId="59A6CF72" w14:textId="3CD387B1" w:rsidR="006E0690" w:rsidRDefault="003F43BF" w:rsidP="003F43BF">
      <w:pPr>
        <w:pStyle w:val="ListParagraph"/>
        <w:numPr>
          <w:ilvl w:val="0"/>
          <w:numId w:val="20"/>
        </w:numPr>
        <w:rPr>
          <w:rFonts w:ascii="Cambria" w:hAnsi="Cambria"/>
        </w:rPr>
      </w:pPr>
      <w:r>
        <w:rPr>
          <w:rFonts w:ascii="Cambria" w:hAnsi="Cambria"/>
        </w:rPr>
        <w:t>There are some outstanding policy issues (e.g. the Potential and Goals; CE framework for non-resource programs) that could have a significant impact on how we address item 4 (minimizing negative duplication and overlap). Is that part of our scope?</w:t>
      </w:r>
    </w:p>
    <w:p w14:paraId="5FC5FB24" w14:textId="77777777" w:rsidR="003F43BF" w:rsidRPr="003F43BF" w:rsidRDefault="003F43BF" w:rsidP="003F43BF">
      <w:pPr>
        <w:pStyle w:val="ListParagraph"/>
        <w:numPr>
          <w:ilvl w:val="1"/>
          <w:numId w:val="20"/>
        </w:numPr>
        <w:rPr>
          <w:rFonts w:ascii="Cambria" w:hAnsi="Cambria"/>
        </w:rPr>
      </w:pPr>
      <w:r>
        <w:rPr>
          <w:rFonts w:ascii="Cambria" w:hAnsi="Cambria"/>
          <w:i/>
          <w:iCs/>
        </w:rPr>
        <w:t>It will be a long time before there will be Decision on Potential and Goals – rather this process should inform the CPUC Decision.</w:t>
      </w:r>
    </w:p>
    <w:p w14:paraId="2BF7F201" w14:textId="243CD540" w:rsidR="003F43BF" w:rsidRPr="00426AB0" w:rsidRDefault="003F43BF" w:rsidP="003F43BF">
      <w:pPr>
        <w:pStyle w:val="ListParagraph"/>
        <w:numPr>
          <w:ilvl w:val="1"/>
          <w:numId w:val="20"/>
        </w:numPr>
        <w:rPr>
          <w:rFonts w:ascii="Cambria" w:hAnsi="Cambria"/>
        </w:rPr>
      </w:pPr>
      <w:r>
        <w:rPr>
          <w:rFonts w:ascii="Cambria" w:hAnsi="Cambria"/>
          <w:i/>
          <w:iCs/>
        </w:rPr>
        <w:t xml:space="preserve"> Regarding the CE Decision, we need to work with our current understanding, but acknowledge that the results of that Decision could impact next steps.</w:t>
      </w:r>
    </w:p>
    <w:p w14:paraId="4CCDB9A9" w14:textId="0C73F55E" w:rsidR="00426AB0" w:rsidRDefault="00426AB0" w:rsidP="00426AB0">
      <w:pPr>
        <w:pStyle w:val="ListParagraph"/>
        <w:numPr>
          <w:ilvl w:val="0"/>
          <w:numId w:val="20"/>
        </w:numPr>
        <w:rPr>
          <w:rFonts w:ascii="Cambria" w:hAnsi="Cambria"/>
        </w:rPr>
      </w:pPr>
      <w:r>
        <w:rPr>
          <w:rFonts w:ascii="Cambria" w:hAnsi="Cambria"/>
        </w:rPr>
        <w:t xml:space="preserve">It seems to me that item 4 (minimizing negative duplication and overlap) needs to be addressed in 1 (Savings Attribution) and 2 (Goal setting) – so how is item 4 distinct from items 1 and 2?  </w:t>
      </w:r>
    </w:p>
    <w:p w14:paraId="1F400F82" w14:textId="7C700718" w:rsidR="00E80B33" w:rsidRDefault="00426AB0" w:rsidP="00E80B33">
      <w:pPr>
        <w:pStyle w:val="ListParagraph"/>
        <w:numPr>
          <w:ilvl w:val="1"/>
          <w:numId w:val="20"/>
        </w:numPr>
        <w:rPr>
          <w:rFonts w:ascii="Cambria" w:hAnsi="Cambria"/>
          <w:i/>
          <w:iCs/>
        </w:rPr>
      </w:pPr>
      <w:r w:rsidRPr="00426AB0">
        <w:rPr>
          <w:rFonts w:ascii="Cambria" w:hAnsi="Cambria"/>
          <w:i/>
          <w:iCs/>
        </w:rPr>
        <w:t xml:space="preserve">Yes, a certain part of 4 will be </w:t>
      </w:r>
      <w:r>
        <w:rPr>
          <w:rFonts w:ascii="Cambria" w:hAnsi="Cambria"/>
          <w:i/>
          <w:iCs/>
        </w:rPr>
        <w:t>addressed</w:t>
      </w:r>
      <w:r w:rsidRPr="00426AB0">
        <w:rPr>
          <w:rFonts w:ascii="Cambria" w:hAnsi="Cambria"/>
          <w:i/>
          <w:iCs/>
        </w:rPr>
        <w:t xml:space="preserve"> </w:t>
      </w:r>
      <w:r>
        <w:rPr>
          <w:rFonts w:ascii="Cambria" w:hAnsi="Cambria"/>
          <w:i/>
          <w:iCs/>
        </w:rPr>
        <w:t>during discussion around</w:t>
      </w:r>
      <w:r w:rsidRPr="00426AB0">
        <w:rPr>
          <w:rFonts w:ascii="Cambria" w:hAnsi="Cambria"/>
          <w:i/>
          <w:iCs/>
        </w:rPr>
        <w:t xml:space="preserve"> 1 and 2,</w:t>
      </w:r>
      <w:r>
        <w:rPr>
          <w:rFonts w:ascii="Cambria" w:hAnsi="Cambria"/>
          <w:i/>
          <w:iCs/>
        </w:rPr>
        <w:t xml:space="preserve"> which will primarily be a numeric exercise.</w:t>
      </w:r>
      <w:r w:rsidRPr="00426AB0">
        <w:rPr>
          <w:rFonts w:ascii="Cambria" w:hAnsi="Cambria"/>
          <w:i/>
          <w:iCs/>
        </w:rPr>
        <w:t xml:space="preserve"> </w:t>
      </w:r>
      <w:r>
        <w:rPr>
          <w:rFonts w:ascii="Cambria" w:hAnsi="Cambria"/>
          <w:i/>
          <w:iCs/>
        </w:rPr>
        <w:t>W</w:t>
      </w:r>
      <w:r w:rsidRPr="00426AB0">
        <w:rPr>
          <w:rFonts w:ascii="Cambria" w:hAnsi="Cambria"/>
          <w:i/>
          <w:iCs/>
        </w:rPr>
        <w:t xml:space="preserve">hen we get to item </w:t>
      </w:r>
      <w:proofErr w:type="gramStart"/>
      <w:r w:rsidRPr="00426AB0">
        <w:rPr>
          <w:rFonts w:ascii="Cambria" w:hAnsi="Cambria"/>
          <w:i/>
          <w:iCs/>
        </w:rPr>
        <w:t>4</w:t>
      </w:r>
      <w:proofErr w:type="gramEnd"/>
      <w:r w:rsidRPr="00426AB0">
        <w:rPr>
          <w:rFonts w:ascii="Cambria" w:hAnsi="Cambria"/>
          <w:i/>
          <w:iCs/>
        </w:rPr>
        <w:t xml:space="preserve"> we will focus on </w:t>
      </w:r>
      <w:r w:rsidR="00E80B33">
        <w:rPr>
          <w:rFonts w:ascii="Cambria" w:hAnsi="Cambria"/>
          <w:i/>
          <w:iCs/>
        </w:rPr>
        <w:t xml:space="preserve">more on </w:t>
      </w:r>
      <w:r w:rsidRPr="00426AB0">
        <w:rPr>
          <w:rFonts w:ascii="Cambria" w:hAnsi="Cambria"/>
          <w:i/>
          <w:iCs/>
        </w:rPr>
        <w:t>implementation and procedures.</w:t>
      </w:r>
      <w:r w:rsidRPr="008C7A5F">
        <w:rPr>
          <w:rFonts w:ascii="Cambria" w:hAnsi="Cambria"/>
          <w:i/>
          <w:iCs/>
        </w:rPr>
        <w:t xml:space="preserve"> </w:t>
      </w:r>
    </w:p>
    <w:p w14:paraId="5798BF02" w14:textId="3B507580" w:rsidR="00426AB0" w:rsidRPr="008C7A5F" w:rsidRDefault="00E80B33" w:rsidP="00E80B33">
      <w:pPr>
        <w:pStyle w:val="ListParagraph"/>
        <w:numPr>
          <w:ilvl w:val="0"/>
          <w:numId w:val="20"/>
        </w:numPr>
        <w:rPr>
          <w:rFonts w:ascii="Cambria" w:hAnsi="Cambria"/>
          <w:i/>
          <w:iCs/>
        </w:rPr>
      </w:pPr>
      <w:r>
        <w:rPr>
          <w:rFonts w:ascii="Cambria" w:hAnsi="Cambria"/>
          <w:i/>
          <w:iCs/>
        </w:rPr>
        <w:t>Note: The Working Group was generally fine with the overall schedule (mont</w:t>
      </w:r>
      <w:r w:rsidR="008C7A5F">
        <w:rPr>
          <w:rFonts w:ascii="Cambria" w:hAnsi="Cambria"/>
          <w:i/>
          <w:iCs/>
        </w:rPr>
        <w:t>h</w:t>
      </w:r>
      <w:r>
        <w:rPr>
          <w:rFonts w:ascii="Cambria" w:hAnsi="Cambria"/>
          <w:i/>
          <w:iCs/>
        </w:rPr>
        <w:t>ly meetings over half a year), and the sequencing of issues and within each issue.</w:t>
      </w:r>
      <w:r w:rsidR="00426AB0" w:rsidRPr="008C7A5F">
        <w:rPr>
          <w:rFonts w:ascii="Cambria" w:hAnsi="Cambria"/>
          <w:i/>
          <w:iCs/>
        </w:rPr>
        <w:t xml:space="preserve"> </w:t>
      </w:r>
    </w:p>
    <w:p w14:paraId="632A7E8D" w14:textId="77777777" w:rsidR="006E0690" w:rsidRDefault="006E0690">
      <w:pPr>
        <w:rPr>
          <w:rFonts w:ascii="Cambria" w:hAnsi="Cambria" w:cs="Times New Roman (Body CS)"/>
          <w:b/>
          <w:smallCaps/>
          <w:sz w:val="26"/>
          <w:szCs w:val="26"/>
        </w:rPr>
      </w:pPr>
    </w:p>
    <w:p w14:paraId="7FDC0EC5" w14:textId="5B0D65E9" w:rsidR="00EC62E8" w:rsidRDefault="00EC62E8">
      <w:pPr>
        <w:rPr>
          <w:rFonts w:ascii="Cambria" w:hAnsi="Cambria" w:cs="Times New Roman (Body CS)"/>
          <w:b/>
          <w:smallCaps/>
          <w:sz w:val="26"/>
          <w:szCs w:val="26"/>
        </w:rPr>
      </w:pPr>
      <w:r>
        <w:rPr>
          <w:rFonts w:ascii="Cambria" w:hAnsi="Cambria" w:cs="Times New Roman (Body CS)"/>
          <w:b/>
          <w:smallCaps/>
          <w:sz w:val="26"/>
          <w:szCs w:val="26"/>
        </w:rPr>
        <w:t>Wrap Up and Next Steps</w:t>
      </w:r>
    </w:p>
    <w:p w14:paraId="7EBD0618" w14:textId="5258EA80" w:rsidR="00EC62E8" w:rsidRDefault="00EC62E8"/>
    <w:p w14:paraId="3829137B" w14:textId="0971E047" w:rsidR="006E0690" w:rsidRPr="00DB54DF" w:rsidRDefault="006E0690">
      <w:pPr>
        <w:rPr>
          <w:rFonts w:ascii="Cambria" w:hAnsi="Cambria"/>
        </w:rPr>
      </w:pPr>
      <w:r w:rsidRPr="00DB54DF">
        <w:rPr>
          <w:rFonts w:ascii="Cambria" w:hAnsi="Cambria"/>
        </w:rPr>
        <w:t xml:space="preserve">At the close of the meeting, J. </w:t>
      </w:r>
      <w:proofErr w:type="spellStart"/>
      <w:r w:rsidRPr="00DB54DF">
        <w:rPr>
          <w:rFonts w:ascii="Cambria" w:hAnsi="Cambria"/>
        </w:rPr>
        <w:t>Raab</w:t>
      </w:r>
      <w:proofErr w:type="spellEnd"/>
      <w:r w:rsidRPr="00DB54DF">
        <w:rPr>
          <w:rFonts w:ascii="Cambria" w:hAnsi="Cambria"/>
        </w:rPr>
        <w:t xml:space="preserve"> asked for a show of hands for Members who would like to participate in </w:t>
      </w:r>
      <w:r w:rsidR="00E80B33">
        <w:rPr>
          <w:rFonts w:ascii="Cambria" w:hAnsi="Cambria"/>
        </w:rPr>
        <w:t>sub-Working Groups</w:t>
      </w:r>
      <w:r w:rsidRPr="00DB54DF">
        <w:rPr>
          <w:rFonts w:ascii="Cambria" w:hAnsi="Cambria"/>
        </w:rPr>
        <w:t xml:space="preserve"> to develop straw proposals for approaches to (1) Savings Attribution Between MTIs and Other EE Efforts in California and (2) Goal Setting for MTIs and Other EE Efforts in California. The following Members volunteered to participate in these </w:t>
      </w:r>
      <w:r w:rsidR="00E80B33">
        <w:rPr>
          <w:rFonts w:ascii="Cambria" w:hAnsi="Cambria"/>
        </w:rPr>
        <w:t>sub-WGs</w:t>
      </w:r>
      <w:r w:rsidRPr="00DB54DF">
        <w:rPr>
          <w:rFonts w:ascii="Cambria" w:hAnsi="Cambria"/>
        </w:rPr>
        <w:t xml:space="preserve">: </w:t>
      </w:r>
    </w:p>
    <w:p w14:paraId="05F8CDC9" w14:textId="0A499B4C" w:rsidR="006E0690" w:rsidRDefault="006E0690">
      <w:pPr>
        <w:rPr>
          <w:rFonts w:ascii="Cambria" w:hAnsi="Cambria"/>
        </w:rPr>
      </w:pPr>
    </w:p>
    <w:p w14:paraId="44D774C5" w14:textId="77777777" w:rsidR="00E80B33" w:rsidRPr="00DB54DF" w:rsidRDefault="00E80B33">
      <w:pPr>
        <w:rPr>
          <w:rFonts w:ascii="Cambria" w:hAnsi="Cambria"/>
        </w:rPr>
      </w:pPr>
    </w:p>
    <w:p w14:paraId="6E6AEFE1" w14:textId="77777777" w:rsidR="006E0690" w:rsidRPr="00DB54DF" w:rsidRDefault="006E0690">
      <w:pPr>
        <w:rPr>
          <w:rFonts w:ascii="Cambria" w:hAnsi="Cambria"/>
          <w:b/>
          <w:bCs/>
        </w:rPr>
      </w:pPr>
      <w:r w:rsidRPr="00DB54DF">
        <w:rPr>
          <w:rFonts w:ascii="Cambria" w:hAnsi="Cambria"/>
          <w:b/>
          <w:bCs/>
        </w:rPr>
        <w:lastRenderedPageBreak/>
        <w:t>(1) Savings Attribution Between MTIs and Other EE Efforts in California</w:t>
      </w:r>
    </w:p>
    <w:p w14:paraId="28286965" w14:textId="0C8517F4" w:rsidR="006E0690" w:rsidRPr="00DB54DF" w:rsidRDefault="006E0690" w:rsidP="00D3618E">
      <w:pPr>
        <w:ind w:left="720"/>
        <w:rPr>
          <w:rFonts w:ascii="Cambria" w:hAnsi="Cambria"/>
          <w:bCs/>
        </w:rPr>
      </w:pPr>
      <w:r w:rsidRPr="00DB54DF">
        <w:rPr>
          <w:rFonts w:ascii="Cambria" w:hAnsi="Cambria"/>
          <w:bCs/>
        </w:rPr>
        <w:t>Raghav Murali, CSE</w:t>
      </w:r>
    </w:p>
    <w:p w14:paraId="4E74E147" w14:textId="36E0E9BC" w:rsidR="006E0690" w:rsidRPr="00DB54DF" w:rsidRDefault="006E0690" w:rsidP="00D3618E">
      <w:pPr>
        <w:ind w:left="720"/>
        <w:rPr>
          <w:rFonts w:ascii="Cambria" w:hAnsi="Cambria"/>
          <w:bCs/>
        </w:rPr>
      </w:pPr>
      <w:r w:rsidRPr="00DB54DF">
        <w:rPr>
          <w:rFonts w:ascii="Cambria" w:hAnsi="Cambria"/>
          <w:bCs/>
        </w:rPr>
        <w:t xml:space="preserve">Jay </w:t>
      </w:r>
      <w:proofErr w:type="spellStart"/>
      <w:r w:rsidRPr="00DB54DF">
        <w:rPr>
          <w:rFonts w:ascii="Cambria" w:hAnsi="Cambria"/>
          <w:bCs/>
        </w:rPr>
        <w:t>Luboff</w:t>
      </w:r>
      <w:proofErr w:type="spellEnd"/>
      <w:r w:rsidRPr="00DB54DF">
        <w:rPr>
          <w:rFonts w:ascii="Cambria" w:hAnsi="Cambria"/>
          <w:bCs/>
        </w:rPr>
        <w:t xml:space="preserve">, Jay </w:t>
      </w:r>
      <w:proofErr w:type="spellStart"/>
      <w:r w:rsidRPr="00DB54DF">
        <w:rPr>
          <w:rFonts w:ascii="Cambria" w:hAnsi="Cambria"/>
          <w:bCs/>
        </w:rPr>
        <w:t>Luboff</w:t>
      </w:r>
      <w:proofErr w:type="spellEnd"/>
      <w:r w:rsidRPr="00DB54DF">
        <w:rPr>
          <w:rFonts w:ascii="Cambria" w:hAnsi="Cambria"/>
          <w:bCs/>
        </w:rPr>
        <w:t xml:space="preserve"> Consulting  </w:t>
      </w:r>
    </w:p>
    <w:p w14:paraId="74F34532" w14:textId="3726F183" w:rsidR="006E0690" w:rsidRPr="00DB54DF" w:rsidRDefault="006E0690" w:rsidP="00D3618E">
      <w:pPr>
        <w:ind w:left="720"/>
        <w:rPr>
          <w:rFonts w:ascii="Cambria" w:hAnsi="Cambria"/>
          <w:bCs/>
        </w:rPr>
      </w:pPr>
      <w:r w:rsidRPr="00DB54DF">
        <w:rPr>
          <w:rFonts w:ascii="Cambria" w:hAnsi="Cambria"/>
          <w:bCs/>
        </w:rPr>
        <w:t xml:space="preserve">Dan </w:t>
      </w:r>
      <w:proofErr w:type="spellStart"/>
      <w:r w:rsidRPr="00DB54DF">
        <w:rPr>
          <w:rFonts w:ascii="Cambria" w:hAnsi="Cambria"/>
          <w:bCs/>
        </w:rPr>
        <w:t>Suyeyasu</w:t>
      </w:r>
      <w:proofErr w:type="spellEnd"/>
      <w:r w:rsidRPr="00DB54DF">
        <w:rPr>
          <w:rFonts w:ascii="Cambria" w:hAnsi="Cambria"/>
          <w:bCs/>
        </w:rPr>
        <w:t>, Code Cycle</w:t>
      </w:r>
    </w:p>
    <w:p w14:paraId="33B2784A" w14:textId="7E724117" w:rsidR="006E0690" w:rsidRPr="00DB54DF" w:rsidRDefault="006E0690" w:rsidP="00D3618E">
      <w:pPr>
        <w:ind w:left="720"/>
        <w:rPr>
          <w:rFonts w:ascii="Cambria" w:hAnsi="Cambria"/>
          <w:bCs/>
        </w:rPr>
      </w:pPr>
      <w:r w:rsidRPr="00DB54DF">
        <w:rPr>
          <w:rFonts w:ascii="Cambria" w:hAnsi="Cambria"/>
          <w:bCs/>
        </w:rPr>
        <w:t>Margie Gardner, Resource Innovations</w:t>
      </w:r>
    </w:p>
    <w:p w14:paraId="60BD82BA" w14:textId="139876FC" w:rsidR="006E0690" w:rsidRPr="00DB54DF" w:rsidRDefault="006E0690" w:rsidP="00D3618E">
      <w:pPr>
        <w:ind w:left="720"/>
        <w:rPr>
          <w:rFonts w:ascii="Cambria" w:hAnsi="Cambria"/>
          <w:bCs/>
        </w:rPr>
      </w:pPr>
      <w:r w:rsidRPr="00DB54DF">
        <w:rPr>
          <w:rFonts w:ascii="Cambria" w:hAnsi="Cambria"/>
          <w:bCs/>
        </w:rPr>
        <w:t xml:space="preserve">Randall </w:t>
      </w:r>
      <w:proofErr w:type="spellStart"/>
      <w:r w:rsidRPr="00DB54DF">
        <w:rPr>
          <w:rFonts w:ascii="Cambria" w:hAnsi="Cambria"/>
          <w:bCs/>
        </w:rPr>
        <w:t>Higa</w:t>
      </w:r>
      <w:proofErr w:type="spellEnd"/>
      <w:r w:rsidRPr="00DB54DF">
        <w:rPr>
          <w:rFonts w:ascii="Cambria" w:hAnsi="Cambria"/>
          <w:bCs/>
        </w:rPr>
        <w:t>, SCE</w:t>
      </w:r>
    </w:p>
    <w:p w14:paraId="614CFD39" w14:textId="3AE31AAA" w:rsidR="006E0690" w:rsidRPr="00DB54DF" w:rsidRDefault="006E0690" w:rsidP="00D3618E">
      <w:pPr>
        <w:ind w:left="720"/>
        <w:rPr>
          <w:rFonts w:ascii="Cambria" w:hAnsi="Cambria"/>
          <w:bCs/>
        </w:rPr>
      </w:pPr>
      <w:proofErr w:type="spellStart"/>
      <w:r w:rsidRPr="00DB54DF">
        <w:rPr>
          <w:rFonts w:ascii="Cambria" w:hAnsi="Cambria"/>
          <w:bCs/>
        </w:rPr>
        <w:t>Serj</w:t>
      </w:r>
      <w:proofErr w:type="spellEnd"/>
      <w:r w:rsidRPr="00DB54DF">
        <w:rPr>
          <w:rFonts w:ascii="Cambria" w:hAnsi="Cambria"/>
          <w:bCs/>
        </w:rPr>
        <w:t xml:space="preserve"> </w:t>
      </w:r>
      <w:proofErr w:type="spellStart"/>
      <w:r w:rsidRPr="00DB54DF">
        <w:rPr>
          <w:rFonts w:ascii="Cambria" w:hAnsi="Cambria"/>
          <w:bCs/>
        </w:rPr>
        <w:t>Berelson</w:t>
      </w:r>
      <w:proofErr w:type="spellEnd"/>
      <w:r w:rsidRPr="00DB54DF">
        <w:rPr>
          <w:rFonts w:ascii="Cambria" w:hAnsi="Cambria"/>
          <w:bCs/>
        </w:rPr>
        <w:t>, CEDMC</w:t>
      </w:r>
    </w:p>
    <w:p w14:paraId="6009ADE1" w14:textId="70B5B7DE" w:rsidR="006E0690" w:rsidRPr="00DB54DF" w:rsidRDefault="006E0690" w:rsidP="00D3618E">
      <w:pPr>
        <w:ind w:left="720"/>
        <w:rPr>
          <w:rFonts w:ascii="Cambria" w:hAnsi="Cambria"/>
          <w:bCs/>
        </w:rPr>
      </w:pPr>
      <w:r w:rsidRPr="00DB54DF">
        <w:rPr>
          <w:rFonts w:ascii="Cambria" w:hAnsi="Cambria"/>
          <w:bCs/>
        </w:rPr>
        <w:t xml:space="preserve">Mohit Chhabra, NRDC </w:t>
      </w:r>
    </w:p>
    <w:p w14:paraId="1062DC22" w14:textId="042BA010" w:rsidR="006E0690" w:rsidRPr="00DB54DF" w:rsidRDefault="006E0690" w:rsidP="003C3DA7">
      <w:pPr>
        <w:ind w:left="720"/>
        <w:rPr>
          <w:rFonts w:ascii="Cambria" w:hAnsi="Cambria"/>
          <w:bCs/>
        </w:rPr>
      </w:pPr>
      <w:r w:rsidRPr="003C3DA7">
        <w:rPr>
          <w:rFonts w:ascii="Cambria" w:hAnsi="Cambria"/>
          <w:bCs/>
        </w:rPr>
        <w:t xml:space="preserve">Jeff Harris, NEEA </w:t>
      </w:r>
    </w:p>
    <w:p w14:paraId="067D8391" w14:textId="77777777" w:rsidR="006E0690" w:rsidRPr="00DB54DF" w:rsidRDefault="006E0690">
      <w:pPr>
        <w:rPr>
          <w:rFonts w:ascii="Cambria" w:hAnsi="Cambria"/>
        </w:rPr>
      </w:pPr>
    </w:p>
    <w:p w14:paraId="676ED2E7" w14:textId="3CFAABA5" w:rsidR="006E0690" w:rsidRPr="00DB54DF" w:rsidRDefault="006E0690">
      <w:pPr>
        <w:rPr>
          <w:rFonts w:ascii="Cambria" w:hAnsi="Cambria"/>
          <w:b/>
          <w:bCs/>
        </w:rPr>
      </w:pPr>
      <w:r w:rsidRPr="00DB54DF">
        <w:rPr>
          <w:rFonts w:ascii="Cambria" w:hAnsi="Cambria"/>
          <w:b/>
          <w:bCs/>
        </w:rPr>
        <w:t>(2) Goal Setting for MTIs and Other EE Efforts in California</w:t>
      </w:r>
    </w:p>
    <w:p w14:paraId="7889D1B6" w14:textId="0441B261" w:rsidR="006E0690" w:rsidRPr="00DB54DF" w:rsidRDefault="006E0690" w:rsidP="00D3618E">
      <w:pPr>
        <w:ind w:left="720"/>
        <w:rPr>
          <w:rFonts w:ascii="Cambria" w:hAnsi="Cambria"/>
          <w:bCs/>
        </w:rPr>
      </w:pPr>
      <w:r w:rsidRPr="00DB54DF">
        <w:rPr>
          <w:rFonts w:ascii="Cambria" w:hAnsi="Cambria"/>
          <w:bCs/>
        </w:rPr>
        <w:t>Raghav Murali, CSE</w:t>
      </w:r>
    </w:p>
    <w:p w14:paraId="5A3F2FA6" w14:textId="007042C3" w:rsidR="006E0690" w:rsidRPr="00DB54DF" w:rsidRDefault="006E0690" w:rsidP="00D3618E">
      <w:pPr>
        <w:ind w:left="720"/>
        <w:rPr>
          <w:rFonts w:ascii="Cambria" w:hAnsi="Cambria"/>
          <w:bCs/>
        </w:rPr>
      </w:pPr>
      <w:r w:rsidRPr="00DB54DF">
        <w:rPr>
          <w:rFonts w:ascii="Cambria" w:hAnsi="Cambria"/>
          <w:bCs/>
        </w:rPr>
        <w:t xml:space="preserve">Greg </w:t>
      </w:r>
      <w:proofErr w:type="spellStart"/>
      <w:r w:rsidRPr="00DB54DF">
        <w:rPr>
          <w:rFonts w:ascii="Cambria" w:hAnsi="Cambria"/>
          <w:bCs/>
        </w:rPr>
        <w:t>Wikler</w:t>
      </w:r>
      <w:proofErr w:type="spellEnd"/>
      <w:r w:rsidRPr="00DB54DF">
        <w:rPr>
          <w:rFonts w:ascii="Cambria" w:hAnsi="Cambria"/>
          <w:bCs/>
        </w:rPr>
        <w:t>, CEDMC</w:t>
      </w:r>
    </w:p>
    <w:p w14:paraId="2310DD5C" w14:textId="7E43C728" w:rsidR="006E0690" w:rsidRPr="00DB54DF" w:rsidRDefault="006E0690" w:rsidP="00D3618E">
      <w:pPr>
        <w:ind w:left="720"/>
        <w:rPr>
          <w:rFonts w:ascii="Cambria" w:hAnsi="Cambria"/>
          <w:bCs/>
        </w:rPr>
      </w:pPr>
      <w:r w:rsidRPr="00DB54DF">
        <w:rPr>
          <w:rFonts w:ascii="Cambria" w:hAnsi="Cambria"/>
          <w:bCs/>
        </w:rPr>
        <w:t>Margie Gardner, Resource Innovations</w:t>
      </w:r>
    </w:p>
    <w:p w14:paraId="5908C60C" w14:textId="55322294" w:rsidR="006E0690" w:rsidRPr="00DB54DF" w:rsidRDefault="006E0690" w:rsidP="00D3618E">
      <w:pPr>
        <w:ind w:left="720"/>
        <w:rPr>
          <w:rFonts w:ascii="Cambria" w:hAnsi="Cambria"/>
          <w:bCs/>
        </w:rPr>
      </w:pPr>
      <w:r w:rsidRPr="00DB54DF">
        <w:rPr>
          <w:rFonts w:ascii="Cambria" w:hAnsi="Cambria"/>
          <w:bCs/>
        </w:rPr>
        <w:t>Marc Costa, The Energy Coalition</w:t>
      </w:r>
    </w:p>
    <w:p w14:paraId="40A299F8" w14:textId="7F657BD3" w:rsidR="006E0690" w:rsidRPr="00DB54DF" w:rsidRDefault="006E0690" w:rsidP="00D3618E">
      <w:pPr>
        <w:ind w:left="720"/>
        <w:rPr>
          <w:rFonts w:ascii="Cambria" w:hAnsi="Cambria"/>
          <w:bCs/>
        </w:rPr>
      </w:pPr>
      <w:r w:rsidRPr="00DB54DF">
        <w:rPr>
          <w:rFonts w:ascii="Cambria" w:hAnsi="Cambria"/>
          <w:bCs/>
        </w:rPr>
        <w:t xml:space="preserve">Jay </w:t>
      </w:r>
      <w:proofErr w:type="spellStart"/>
      <w:r w:rsidRPr="00DB54DF">
        <w:rPr>
          <w:rFonts w:ascii="Cambria" w:hAnsi="Cambria"/>
          <w:bCs/>
        </w:rPr>
        <w:t>Luboff</w:t>
      </w:r>
      <w:proofErr w:type="spellEnd"/>
      <w:r w:rsidRPr="00DB54DF">
        <w:rPr>
          <w:rFonts w:ascii="Cambria" w:hAnsi="Cambria"/>
          <w:bCs/>
        </w:rPr>
        <w:t xml:space="preserve">, Jay </w:t>
      </w:r>
      <w:proofErr w:type="spellStart"/>
      <w:r w:rsidRPr="00DB54DF">
        <w:rPr>
          <w:rFonts w:ascii="Cambria" w:hAnsi="Cambria"/>
          <w:bCs/>
        </w:rPr>
        <w:t>Luboff</w:t>
      </w:r>
      <w:proofErr w:type="spellEnd"/>
      <w:r w:rsidRPr="00DB54DF">
        <w:rPr>
          <w:rFonts w:ascii="Cambria" w:hAnsi="Cambria"/>
          <w:bCs/>
        </w:rPr>
        <w:t xml:space="preserve"> Consulting  </w:t>
      </w:r>
    </w:p>
    <w:p w14:paraId="38F9903E" w14:textId="065BA2B5" w:rsidR="006E0690" w:rsidRPr="00DB54DF" w:rsidRDefault="006E0690" w:rsidP="00D3618E">
      <w:pPr>
        <w:ind w:left="720"/>
        <w:rPr>
          <w:rFonts w:ascii="Cambria" w:hAnsi="Cambria"/>
          <w:bCs/>
        </w:rPr>
      </w:pPr>
      <w:r w:rsidRPr="00DB54DF">
        <w:rPr>
          <w:rFonts w:ascii="Cambria" w:hAnsi="Cambria"/>
          <w:bCs/>
        </w:rPr>
        <w:t xml:space="preserve">Mohit Chhabra, NRDC </w:t>
      </w:r>
    </w:p>
    <w:p w14:paraId="74993759" w14:textId="77777777" w:rsidR="006E0690" w:rsidRPr="00DB54DF" w:rsidRDefault="006E0690" w:rsidP="00D3618E">
      <w:pPr>
        <w:ind w:left="720"/>
        <w:rPr>
          <w:rFonts w:ascii="Cambria" w:hAnsi="Cambria"/>
          <w:bCs/>
        </w:rPr>
      </w:pPr>
      <w:r w:rsidRPr="003C3DA7">
        <w:rPr>
          <w:rFonts w:ascii="Cambria" w:hAnsi="Cambria"/>
          <w:bCs/>
        </w:rPr>
        <w:t>Jeff Harris, NEEA</w:t>
      </w:r>
    </w:p>
    <w:p w14:paraId="34B2A1C8" w14:textId="77777777" w:rsidR="006E0690" w:rsidRDefault="006E0690"/>
    <w:p w14:paraId="202E8BFE" w14:textId="7B6B44C3" w:rsidR="001B04C3" w:rsidRPr="001B04C3" w:rsidRDefault="001B04C3" w:rsidP="001B04C3">
      <w:pPr>
        <w:rPr>
          <w:rFonts w:ascii="Cambria" w:hAnsi="Cambria" w:cs="Helvetica Neue"/>
          <w:color w:val="1F1F1F"/>
        </w:rPr>
      </w:pPr>
      <w:r w:rsidRPr="001B04C3">
        <w:rPr>
          <w:rFonts w:ascii="Cambria" w:hAnsi="Cambria" w:cs="Helvetica Neue"/>
          <w:color w:val="1F1F1F"/>
        </w:rPr>
        <w:t>The following next steps were identified over the course of the meeting:</w:t>
      </w:r>
    </w:p>
    <w:p w14:paraId="137C92E1" w14:textId="77777777" w:rsidR="001B04C3" w:rsidRDefault="001B04C3" w:rsidP="001B04C3">
      <w:pPr>
        <w:rPr>
          <w:rFonts w:ascii="Cambria" w:hAnsi="Cambria" w:cs="Helvetica Neue"/>
          <w:b/>
          <w:bCs/>
          <w:i/>
          <w:iCs/>
          <w:color w:val="1F1F1F"/>
        </w:rPr>
      </w:pPr>
    </w:p>
    <w:p w14:paraId="50D12729" w14:textId="318C91AB" w:rsidR="001B04C3" w:rsidRPr="001B04C3" w:rsidRDefault="00D3618E" w:rsidP="001B04C3">
      <w:pPr>
        <w:rPr>
          <w:rFonts w:ascii="Cambria" w:hAnsi="Cambria" w:cs="Helvetica Neue"/>
          <w:b/>
          <w:bCs/>
          <w:i/>
          <w:iCs/>
          <w:color w:val="1F1F1F"/>
        </w:rPr>
      </w:pPr>
      <w:r>
        <w:rPr>
          <w:rFonts w:ascii="Cambria" w:hAnsi="Cambria" w:cs="Helvetica Neue"/>
          <w:b/>
          <w:bCs/>
          <w:i/>
          <w:iCs/>
          <w:color w:val="1F1F1F"/>
        </w:rPr>
        <w:t>Facilitation Team</w:t>
      </w:r>
      <w:r w:rsidR="001B04C3" w:rsidRPr="001B04C3">
        <w:rPr>
          <w:rFonts w:ascii="Cambria" w:hAnsi="Cambria" w:cs="Helvetica Neue"/>
          <w:b/>
          <w:bCs/>
          <w:i/>
          <w:iCs/>
          <w:color w:val="1F1F1F"/>
        </w:rPr>
        <w:t>:</w:t>
      </w:r>
    </w:p>
    <w:p w14:paraId="7E3C58CF" w14:textId="047DB254" w:rsidR="00D3618E" w:rsidRPr="00D3618E" w:rsidRDefault="00D3618E" w:rsidP="001B04C3">
      <w:pPr>
        <w:pStyle w:val="ListParagraph"/>
        <w:numPr>
          <w:ilvl w:val="0"/>
          <w:numId w:val="3"/>
        </w:numPr>
        <w:rPr>
          <w:rFonts w:ascii="Cambria" w:hAnsi="Cambria" w:cs="Helvetica Neue"/>
          <w:color w:val="1F1F1F"/>
        </w:rPr>
      </w:pPr>
      <w:r w:rsidRPr="00D3618E">
        <w:rPr>
          <w:rFonts w:ascii="Cambria" w:hAnsi="Cambria" w:cs="Helvetica Neue"/>
          <w:color w:val="1F1F1F"/>
        </w:rPr>
        <w:t xml:space="preserve">Coordinate with the 2 </w:t>
      </w:r>
      <w:r w:rsidR="00E80B33">
        <w:rPr>
          <w:rFonts w:ascii="Cambria" w:hAnsi="Cambria" w:cs="Helvetica Neue"/>
          <w:color w:val="1F1F1F"/>
        </w:rPr>
        <w:t>sub-WGs</w:t>
      </w:r>
      <w:r w:rsidRPr="00D3618E">
        <w:rPr>
          <w:rFonts w:ascii="Cambria" w:hAnsi="Cambria" w:cs="Helvetica Neue"/>
          <w:color w:val="1F1F1F"/>
        </w:rPr>
        <w:t xml:space="preserve"> </w:t>
      </w:r>
      <w:r w:rsidRPr="00D3618E">
        <w:rPr>
          <w:rFonts w:ascii="Cambria" w:hAnsi="Cambria"/>
        </w:rPr>
        <w:t>to identify time(s) to meet to develop straw proposals for approaches to (1) Savings Attribution Between MTIs and Other EE Efforts in California and (2) Goal Setting for MTIs and Other EE Efforts in California</w:t>
      </w:r>
    </w:p>
    <w:p w14:paraId="14EC7276" w14:textId="516548FD" w:rsidR="00D3618E" w:rsidRPr="00D3618E" w:rsidRDefault="00D3618E" w:rsidP="001B04C3">
      <w:pPr>
        <w:pStyle w:val="ListParagraph"/>
        <w:numPr>
          <w:ilvl w:val="0"/>
          <w:numId w:val="3"/>
        </w:numPr>
        <w:rPr>
          <w:rFonts w:ascii="Cambria" w:hAnsi="Cambria" w:cs="Helvetica Neue"/>
          <w:color w:val="1F1F1F"/>
        </w:rPr>
      </w:pPr>
      <w:r w:rsidRPr="00D3618E">
        <w:rPr>
          <w:rFonts w:ascii="Cambria" w:hAnsi="Cambria"/>
        </w:rPr>
        <w:t>Send doodle poll</w:t>
      </w:r>
      <w:r w:rsidR="00E80B33">
        <w:rPr>
          <w:rFonts w:ascii="Cambria" w:hAnsi="Cambria"/>
        </w:rPr>
        <w:t>s</w:t>
      </w:r>
      <w:r w:rsidRPr="00D3618E">
        <w:rPr>
          <w:rFonts w:ascii="Cambria" w:hAnsi="Cambria"/>
        </w:rPr>
        <w:t xml:space="preserve"> to </w:t>
      </w:r>
      <w:r w:rsidR="00E80B33">
        <w:rPr>
          <w:rFonts w:ascii="Cambria" w:hAnsi="Cambria"/>
        </w:rPr>
        <w:t xml:space="preserve">the full </w:t>
      </w:r>
      <w:r w:rsidRPr="00D3618E">
        <w:rPr>
          <w:rFonts w:ascii="Cambria" w:hAnsi="Cambria"/>
        </w:rPr>
        <w:t>MTWG to establish dates for the next three meetings in September, October and November</w:t>
      </w:r>
    </w:p>
    <w:p w14:paraId="79DB4A42" w14:textId="77777777" w:rsidR="00D3618E" w:rsidRPr="00D3618E" w:rsidRDefault="00D3618E" w:rsidP="00D3618E">
      <w:pPr>
        <w:pStyle w:val="ListParagraph"/>
        <w:numPr>
          <w:ilvl w:val="0"/>
          <w:numId w:val="3"/>
        </w:numPr>
        <w:rPr>
          <w:rFonts w:ascii="Cambria" w:hAnsi="Cambria"/>
        </w:rPr>
      </w:pPr>
      <w:r w:rsidRPr="00D3618E">
        <w:rPr>
          <w:rFonts w:ascii="Cambria" w:hAnsi="Cambria" w:cs="Helvetica Neue"/>
          <w:color w:val="1F1F1F"/>
        </w:rPr>
        <w:t>Develop meeting summary (this document) and circulate to MTWG for review within 5 business days of the meeting (Facilitation Team)</w:t>
      </w:r>
    </w:p>
    <w:p w14:paraId="43AA4609" w14:textId="77777777" w:rsidR="001B04C3" w:rsidRPr="001B04C3" w:rsidRDefault="001B04C3" w:rsidP="001B04C3">
      <w:pPr>
        <w:rPr>
          <w:rFonts w:ascii="Cambria" w:hAnsi="Cambria" w:cs="Helvetica Neue"/>
          <w:color w:val="1F1F1F"/>
        </w:rPr>
      </w:pPr>
    </w:p>
    <w:p w14:paraId="764D9F88" w14:textId="3BBF7465" w:rsidR="001B04C3" w:rsidRPr="001B04C3" w:rsidRDefault="00D3618E" w:rsidP="001B04C3">
      <w:pPr>
        <w:rPr>
          <w:rFonts w:ascii="Cambria" w:hAnsi="Cambria" w:cs="Helvetica Neue"/>
          <w:b/>
          <w:bCs/>
          <w:i/>
          <w:iCs/>
          <w:color w:val="1F1F1F"/>
        </w:rPr>
      </w:pPr>
      <w:r>
        <w:rPr>
          <w:rFonts w:ascii="Cambria" w:hAnsi="Cambria" w:cs="Helvetica Neue"/>
          <w:b/>
          <w:bCs/>
          <w:i/>
          <w:iCs/>
          <w:color w:val="1F1F1F"/>
        </w:rPr>
        <w:t>Market Transformation Working Group</w:t>
      </w:r>
      <w:r w:rsidR="001B04C3" w:rsidRPr="001B04C3">
        <w:rPr>
          <w:rFonts w:ascii="Cambria" w:hAnsi="Cambria" w:cs="Helvetica Neue"/>
          <w:b/>
          <w:bCs/>
          <w:i/>
          <w:iCs/>
          <w:color w:val="1F1F1F"/>
        </w:rPr>
        <w:t>:</w:t>
      </w:r>
    </w:p>
    <w:p w14:paraId="1AEE2390" w14:textId="77777777" w:rsidR="001B04C3" w:rsidRPr="001B04C3" w:rsidRDefault="001B04C3" w:rsidP="001B04C3">
      <w:pPr>
        <w:rPr>
          <w:rFonts w:ascii="Cambria" w:hAnsi="Cambria" w:cs="Helvetica Neue"/>
          <w:color w:val="1F1F1F"/>
        </w:rPr>
      </w:pPr>
    </w:p>
    <w:p w14:paraId="2C7C2758" w14:textId="7B78D045" w:rsidR="002105AE" w:rsidRPr="00D3618E" w:rsidRDefault="00ED2811" w:rsidP="00D3618E">
      <w:pPr>
        <w:pStyle w:val="ListParagraph"/>
        <w:numPr>
          <w:ilvl w:val="0"/>
          <w:numId w:val="4"/>
        </w:numPr>
        <w:rPr>
          <w:rFonts w:ascii="Cambria" w:hAnsi="Cambria"/>
        </w:rPr>
      </w:pPr>
      <w:r w:rsidRPr="00D3618E">
        <w:rPr>
          <w:rFonts w:ascii="Cambria" w:hAnsi="Cambria" w:cs="Helvetica Neue"/>
          <w:color w:val="1F1F1F"/>
        </w:rPr>
        <w:t>Res</w:t>
      </w:r>
      <w:r w:rsidR="00D3618E" w:rsidRPr="00D3618E">
        <w:rPr>
          <w:rFonts w:ascii="Cambria" w:hAnsi="Cambria" w:cs="Helvetica Neue"/>
          <w:color w:val="1F1F1F"/>
        </w:rPr>
        <w:t xml:space="preserve">pond to doodle poll to </w:t>
      </w:r>
      <w:r w:rsidR="00D3618E" w:rsidRPr="00D3618E">
        <w:rPr>
          <w:rFonts w:ascii="Cambria" w:hAnsi="Cambria"/>
        </w:rPr>
        <w:t>establish dates for the next three meetings in September, October and November</w:t>
      </w:r>
    </w:p>
    <w:p w14:paraId="4FBF23A0" w14:textId="2EDC9617" w:rsidR="00D3618E" w:rsidRPr="00D3618E" w:rsidRDefault="00D3618E" w:rsidP="00D3618E">
      <w:pPr>
        <w:pStyle w:val="ListParagraph"/>
        <w:numPr>
          <w:ilvl w:val="0"/>
          <w:numId w:val="4"/>
        </w:numPr>
        <w:rPr>
          <w:rFonts w:ascii="Cambria" w:hAnsi="Cambria"/>
        </w:rPr>
      </w:pPr>
      <w:r w:rsidRPr="00D3618E">
        <w:rPr>
          <w:rFonts w:ascii="Cambria" w:hAnsi="Cambria"/>
        </w:rPr>
        <w:t xml:space="preserve">Any new </w:t>
      </w:r>
      <w:r w:rsidR="00E80B33">
        <w:rPr>
          <w:rFonts w:ascii="Cambria" w:hAnsi="Cambria"/>
        </w:rPr>
        <w:t xml:space="preserve">MTWG </w:t>
      </w:r>
      <w:r w:rsidRPr="00D3618E">
        <w:rPr>
          <w:rFonts w:ascii="Cambria" w:hAnsi="Cambria"/>
        </w:rPr>
        <w:t>members</w:t>
      </w:r>
      <w:r w:rsidR="00E80B33">
        <w:rPr>
          <w:rFonts w:ascii="Cambria" w:hAnsi="Cambria"/>
        </w:rPr>
        <w:t xml:space="preserve"> (including new representatives from pre-existing MTWG member organizations)</w:t>
      </w:r>
      <w:r w:rsidRPr="00D3618E">
        <w:rPr>
          <w:rFonts w:ascii="Cambria" w:hAnsi="Cambria"/>
        </w:rPr>
        <w:t xml:space="preserve"> who have not yet done so, review the MTWG </w:t>
      </w:r>
      <w:proofErr w:type="spellStart"/>
      <w:r w:rsidRPr="00D3618E">
        <w:rPr>
          <w:rFonts w:ascii="Cambria" w:hAnsi="Cambria"/>
        </w:rPr>
        <w:t>groundrules</w:t>
      </w:r>
      <w:proofErr w:type="spellEnd"/>
      <w:r w:rsidRPr="00D3618E">
        <w:rPr>
          <w:rFonts w:ascii="Cambria" w:hAnsi="Cambria"/>
        </w:rPr>
        <w:t xml:space="preserve"> on the meeting webpage (see link above) and discuss any concerns with the facilitator.</w:t>
      </w:r>
    </w:p>
    <w:p w14:paraId="4707494E" w14:textId="3E0CD6F9" w:rsidR="00D3618E" w:rsidRPr="00D3618E" w:rsidRDefault="00D3618E" w:rsidP="00D3618E">
      <w:pPr>
        <w:pStyle w:val="ListParagraph"/>
        <w:numPr>
          <w:ilvl w:val="0"/>
          <w:numId w:val="4"/>
        </w:numPr>
        <w:rPr>
          <w:rFonts w:ascii="Cambria" w:hAnsi="Cambria"/>
        </w:rPr>
      </w:pPr>
      <w:r w:rsidRPr="00D3618E">
        <w:rPr>
          <w:rFonts w:ascii="Cambria" w:hAnsi="Cambria"/>
          <w:b/>
          <w:bCs/>
          <w:i/>
          <w:iCs/>
        </w:rPr>
        <w:t>Members of the small group on Savings Attribution Between MTIs and Other EE Efforts in California</w:t>
      </w:r>
      <w:r>
        <w:rPr>
          <w:rFonts w:ascii="Cambria" w:hAnsi="Cambria"/>
          <w:b/>
          <w:bCs/>
          <w:i/>
          <w:iCs/>
        </w:rPr>
        <w:t xml:space="preserve"> (see membership list above)</w:t>
      </w:r>
      <w:r w:rsidRPr="00D3618E">
        <w:rPr>
          <w:rFonts w:ascii="Cambria" w:hAnsi="Cambria"/>
        </w:rPr>
        <w:t xml:space="preserve">: </w:t>
      </w:r>
      <w:r w:rsidRPr="00D3618E">
        <w:rPr>
          <w:rFonts w:ascii="Cambria" w:hAnsi="Cambria" w:cs="Helvetica Neue"/>
          <w:color w:val="1F1F1F"/>
        </w:rPr>
        <w:t>M</w:t>
      </w:r>
      <w:r w:rsidRPr="00D3618E">
        <w:rPr>
          <w:rFonts w:ascii="Cambria" w:hAnsi="Cambria"/>
        </w:rPr>
        <w:t xml:space="preserve">eet at least once before the September meeting to develop one or more straw proposals on this topic, and bring this proposal(s) to the MTWG. </w:t>
      </w:r>
    </w:p>
    <w:p w14:paraId="41DA4CB3" w14:textId="339B3CBA" w:rsidR="00D3618E" w:rsidRPr="00D3618E" w:rsidRDefault="00D3618E" w:rsidP="00D3618E">
      <w:pPr>
        <w:pStyle w:val="ListParagraph"/>
        <w:numPr>
          <w:ilvl w:val="0"/>
          <w:numId w:val="4"/>
        </w:numPr>
        <w:rPr>
          <w:rFonts w:ascii="Cambria" w:hAnsi="Cambria"/>
        </w:rPr>
      </w:pPr>
      <w:r w:rsidRPr="00D3618E">
        <w:rPr>
          <w:rFonts w:ascii="Cambria" w:hAnsi="Cambria"/>
          <w:b/>
          <w:bCs/>
          <w:i/>
          <w:iCs/>
        </w:rPr>
        <w:t>Members of the small group on Goal Setting for MTIs and Other EE Efforts in California</w:t>
      </w:r>
      <w:r>
        <w:rPr>
          <w:rFonts w:ascii="Cambria" w:hAnsi="Cambria"/>
          <w:b/>
          <w:bCs/>
          <w:i/>
          <w:iCs/>
        </w:rPr>
        <w:t xml:space="preserve"> (see membership list above)</w:t>
      </w:r>
      <w:r w:rsidRPr="00D3618E">
        <w:rPr>
          <w:rFonts w:ascii="Cambria" w:hAnsi="Cambria"/>
          <w:b/>
          <w:bCs/>
          <w:i/>
          <w:iCs/>
        </w:rPr>
        <w:t>:</w:t>
      </w:r>
      <w:r w:rsidRPr="00D3618E">
        <w:rPr>
          <w:rFonts w:ascii="Cambria" w:hAnsi="Cambria"/>
        </w:rPr>
        <w:t xml:space="preserve"> </w:t>
      </w:r>
      <w:r w:rsidRPr="00D3618E">
        <w:rPr>
          <w:rFonts w:ascii="Cambria" w:hAnsi="Cambria" w:cs="Helvetica Neue"/>
          <w:color w:val="1F1F1F"/>
        </w:rPr>
        <w:t>M</w:t>
      </w:r>
      <w:r w:rsidRPr="00D3618E">
        <w:rPr>
          <w:rFonts w:ascii="Cambria" w:hAnsi="Cambria"/>
        </w:rPr>
        <w:t xml:space="preserve">eet at least once before the September </w:t>
      </w:r>
      <w:r w:rsidRPr="00D3618E">
        <w:rPr>
          <w:rFonts w:ascii="Cambria" w:hAnsi="Cambria"/>
        </w:rPr>
        <w:lastRenderedPageBreak/>
        <w:t xml:space="preserve">meeting to develop one or more straw proposals on this topic, and bring this proposal(s) to the MTWG. </w:t>
      </w:r>
    </w:p>
    <w:p w14:paraId="328560AB" w14:textId="77777777" w:rsidR="00D3618E" w:rsidRPr="00F03366" w:rsidRDefault="00D3618E" w:rsidP="00D3618E">
      <w:pPr>
        <w:pStyle w:val="ListParagraph"/>
        <w:rPr>
          <w:rFonts w:ascii="Cambria" w:hAnsi="Cambria"/>
        </w:rPr>
      </w:pPr>
    </w:p>
    <w:p w14:paraId="261BD9B3" w14:textId="77777777" w:rsidR="001B04C3" w:rsidRPr="001B04C3" w:rsidRDefault="001B04C3" w:rsidP="001B04C3">
      <w:pPr>
        <w:rPr>
          <w:rFonts w:ascii="Cambria" w:hAnsi="Cambria" w:cs="Helvetica Neue"/>
          <w:color w:val="1F1F1F"/>
        </w:rPr>
      </w:pPr>
    </w:p>
    <w:p w14:paraId="3DC7981B" w14:textId="77777777" w:rsidR="001B04C3" w:rsidRPr="001B04C3" w:rsidRDefault="001B04C3" w:rsidP="001B04C3">
      <w:pPr>
        <w:rPr>
          <w:rFonts w:ascii="Cambria" w:hAnsi="Cambria" w:cs="Helvetica Neue"/>
          <w:color w:val="1F1F1F"/>
        </w:rPr>
      </w:pPr>
    </w:p>
    <w:p w14:paraId="67CE6FFA" w14:textId="77777777" w:rsidR="00652CE7" w:rsidRPr="00582557" w:rsidRDefault="00B93358" w:rsidP="00652CE7">
      <w:pPr>
        <w:jc w:val="center"/>
        <w:rPr>
          <w:b/>
          <w:bCs/>
        </w:rPr>
      </w:pPr>
      <w:r>
        <w:br w:type="page"/>
      </w:r>
      <w:r w:rsidR="00652CE7" w:rsidRPr="00582557">
        <w:rPr>
          <w:b/>
          <w:bCs/>
        </w:rPr>
        <w:lastRenderedPageBreak/>
        <w:t>Appendix A: Meeting Registrants</w:t>
      </w:r>
    </w:p>
    <w:p w14:paraId="75AAAA40" w14:textId="77777777" w:rsidR="00652CE7" w:rsidRPr="00B24E15" w:rsidRDefault="00652CE7" w:rsidP="00652CE7">
      <w:pPr>
        <w:ind w:firstLine="720"/>
        <w:rPr>
          <w:rFonts w:cstheme="minorHAnsi"/>
        </w:rPr>
      </w:pPr>
    </w:p>
    <w:p w14:paraId="2F5250B0" w14:textId="77777777" w:rsidR="00652CE7" w:rsidRPr="00B24E15" w:rsidRDefault="00652CE7" w:rsidP="00652CE7">
      <w:pPr>
        <w:ind w:firstLine="720"/>
        <w:rPr>
          <w:rFonts w:cstheme="minorHAnsi"/>
        </w:rPr>
      </w:pPr>
    </w:p>
    <w:tbl>
      <w:tblPr>
        <w:tblW w:w="7060" w:type="dxa"/>
        <w:tblLook w:val="04A0" w:firstRow="1" w:lastRow="0" w:firstColumn="1" w:lastColumn="0" w:noHBand="0" w:noVBand="1"/>
      </w:tblPr>
      <w:tblGrid>
        <w:gridCol w:w="4076"/>
        <w:gridCol w:w="1138"/>
        <w:gridCol w:w="1872"/>
      </w:tblGrid>
      <w:tr w:rsidR="004808B5" w:rsidRPr="004808B5" w14:paraId="4AE06FCD" w14:textId="77777777" w:rsidTr="004808B5">
        <w:trPr>
          <w:trHeight w:val="32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F1047"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 xml:space="preserve">8.11.20 Market Transformation Working Group II Meeting Launch </w:t>
            </w:r>
          </w:p>
        </w:tc>
      </w:tr>
      <w:tr w:rsidR="004808B5" w:rsidRPr="004808B5" w14:paraId="046F7E39" w14:textId="77777777" w:rsidTr="004808B5">
        <w:trPr>
          <w:trHeight w:val="320"/>
        </w:trPr>
        <w:tc>
          <w:tcPr>
            <w:tcW w:w="4076" w:type="dxa"/>
            <w:tcBorders>
              <w:top w:val="nil"/>
              <w:left w:val="single" w:sz="4" w:space="0" w:color="auto"/>
              <w:bottom w:val="single" w:sz="4" w:space="0" w:color="auto"/>
              <w:right w:val="single" w:sz="4" w:space="0" w:color="auto"/>
            </w:tcBorders>
            <w:shd w:val="clear" w:color="000000" w:fill="D9D9D9"/>
            <w:noWrap/>
            <w:vAlign w:val="center"/>
            <w:hideMark/>
          </w:tcPr>
          <w:p w14:paraId="1F2DD68E"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Organization</w:t>
            </w:r>
          </w:p>
        </w:tc>
        <w:tc>
          <w:tcPr>
            <w:tcW w:w="1112" w:type="dxa"/>
            <w:tcBorders>
              <w:top w:val="nil"/>
              <w:left w:val="nil"/>
              <w:bottom w:val="single" w:sz="4" w:space="0" w:color="auto"/>
              <w:right w:val="single" w:sz="4" w:space="0" w:color="auto"/>
            </w:tcBorders>
            <w:shd w:val="clear" w:color="000000" w:fill="D9D9D9"/>
            <w:noWrap/>
            <w:vAlign w:val="center"/>
            <w:hideMark/>
          </w:tcPr>
          <w:p w14:paraId="3C8CB936"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First</w:t>
            </w:r>
          </w:p>
        </w:tc>
        <w:tc>
          <w:tcPr>
            <w:tcW w:w="1872" w:type="dxa"/>
            <w:tcBorders>
              <w:top w:val="nil"/>
              <w:left w:val="nil"/>
              <w:bottom w:val="single" w:sz="4" w:space="0" w:color="auto"/>
              <w:right w:val="single" w:sz="4" w:space="0" w:color="auto"/>
            </w:tcBorders>
            <w:shd w:val="clear" w:color="000000" w:fill="D9D9D9"/>
            <w:noWrap/>
            <w:vAlign w:val="center"/>
            <w:hideMark/>
          </w:tcPr>
          <w:p w14:paraId="7DAA2C39"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Last</w:t>
            </w:r>
          </w:p>
        </w:tc>
      </w:tr>
      <w:tr w:rsidR="004808B5" w:rsidRPr="004808B5" w14:paraId="4AB3EB52"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449F965" w14:textId="77777777" w:rsidR="004808B5" w:rsidRPr="004808B5" w:rsidRDefault="004808B5" w:rsidP="004808B5">
            <w:pPr>
              <w:rPr>
                <w:rFonts w:ascii="Calibri" w:hAnsi="Calibri" w:cs="Calibri"/>
                <w:color w:val="000000"/>
              </w:rPr>
            </w:pPr>
            <w:r w:rsidRPr="004808B5">
              <w:rPr>
                <w:rFonts w:ascii="Calibri" w:hAnsi="Calibri" w:cs="Calibri"/>
                <w:color w:val="000000"/>
              </w:rPr>
              <w:t>Cal Advocates</w:t>
            </w:r>
          </w:p>
        </w:tc>
        <w:tc>
          <w:tcPr>
            <w:tcW w:w="1112" w:type="dxa"/>
            <w:tcBorders>
              <w:top w:val="nil"/>
              <w:left w:val="nil"/>
              <w:bottom w:val="single" w:sz="4" w:space="0" w:color="auto"/>
              <w:right w:val="single" w:sz="4" w:space="0" w:color="auto"/>
            </w:tcBorders>
            <w:shd w:val="clear" w:color="auto" w:fill="auto"/>
            <w:noWrap/>
            <w:vAlign w:val="bottom"/>
            <w:hideMark/>
          </w:tcPr>
          <w:p w14:paraId="64F1635E" w14:textId="77777777" w:rsidR="004808B5" w:rsidRPr="004808B5" w:rsidRDefault="004808B5" w:rsidP="004808B5">
            <w:pPr>
              <w:rPr>
                <w:rFonts w:ascii="Calibri" w:hAnsi="Calibri" w:cs="Calibri"/>
                <w:color w:val="000000"/>
              </w:rPr>
            </w:pPr>
            <w:r w:rsidRPr="004808B5">
              <w:rPr>
                <w:rFonts w:ascii="Calibri" w:hAnsi="Calibri" w:cs="Calibri"/>
                <w:color w:val="000000"/>
              </w:rPr>
              <w:t>Shelly</w:t>
            </w:r>
          </w:p>
        </w:tc>
        <w:tc>
          <w:tcPr>
            <w:tcW w:w="1872" w:type="dxa"/>
            <w:tcBorders>
              <w:top w:val="nil"/>
              <w:left w:val="nil"/>
              <w:bottom w:val="single" w:sz="4" w:space="0" w:color="auto"/>
              <w:right w:val="single" w:sz="4" w:space="0" w:color="auto"/>
            </w:tcBorders>
            <w:shd w:val="clear" w:color="auto" w:fill="auto"/>
            <w:noWrap/>
            <w:vAlign w:val="bottom"/>
            <w:hideMark/>
          </w:tcPr>
          <w:p w14:paraId="1B7DF886"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Lyser</w:t>
            </w:r>
            <w:proofErr w:type="spellEnd"/>
          </w:p>
        </w:tc>
      </w:tr>
      <w:tr w:rsidR="004808B5" w:rsidRPr="004808B5" w14:paraId="31018127"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3577CEE" w14:textId="77777777" w:rsidR="004808B5" w:rsidRPr="004808B5" w:rsidRDefault="004808B5" w:rsidP="004808B5">
            <w:pPr>
              <w:rPr>
                <w:rFonts w:ascii="Calibri" w:hAnsi="Calibri" w:cs="Calibri"/>
                <w:color w:val="000000"/>
              </w:rPr>
            </w:pPr>
            <w:r w:rsidRPr="004808B5">
              <w:rPr>
                <w:rFonts w:ascii="Calibri" w:hAnsi="Calibri" w:cs="Calibri"/>
                <w:color w:val="000000"/>
              </w:rPr>
              <w:t>CEC</w:t>
            </w:r>
          </w:p>
        </w:tc>
        <w:tc>
          <w:tcPr>
            <w:tcW w:w="1112" w:type="dxa"/>
            <w:tcBorders>
              <w:top w:val="nil"/>
              <w:left w:val="nil"/>
              <w:bottom w:val="single" w:sz="4" w:space="0" w:color="auto"/>
              <w:right w:val="single" w:sz="4" w:space="0" w:color="auto"/>
            </w:tcBorders>
            <w:shd w:val="clear" w:color="auto" w:fill="auto"/>
            <w:noWrap/>
            <w:vAlign w:val="bottom"/>
            <w:hideMark/>
          </w:tcPr>
          <w:p w14:paraId="7E60B5FC" w14:textId="77777777" w:rsidR="004808B5" w:rsidRPr="004808B5" w:rsidRDefault="004808B5" w:rsidP="004808B5">
            <w:pPr>
              <w:rPr>
                <w:rFonts w:ascii="Calibri" w:hAnsi="Calibri" w:cs="Calibri"/>
                <w:color w:val="000000"/>
              </w:rPr>
            </w:pPr>
            <w:r w:rsidRPr="004808B5">
              <w:rPr>
                <w:rFonts w:ascii="Calibri" w:hAnsi="Calibri" w:cs="Calibri"/>
                <w:color w:val="000000"/>
              </w:rPr>
              <w:t>Brian</w:t>
            </w:r>
          </w:p>
        </w:tc>
        <w:tc>
          <w:tcPr>
            <w:tcW w:w="1872" w:type="dxa"/>
            <w:tcBorders>
              <w:top w:val="nil"/>
              <w:left w:val="nil"/>
              <w:bottom w:val="single" w:sz="4" w:space="0" w:color="auto"/>
              <w:right w:val="single" w:sz="4" w:space="0" w:color="auto"/>
            </w:tcBorders>
            <w:shd w:val="clear" w:color="auto" w:fill="auto"/>
            <w:noWrap/>
            <w:vAlign w:val="bottom"/>
            <w:hideMark/>
          </w:tcPr>
          <w:p w14:paraId="5F328ABE" w14:textId="77777777" w:rsidR="004808B5" w:rsidRPr="004808B5" w:rsidRDefault="004808B5" w:rsidP="004808B5">
            <w:pPr>
              <w:rPr>
                <w:rFonts w:ascii="Calibri" w:hAnsi="Calibri" w:cs="Calibri"/>
                <w:color w:val="000000"/>
              </w:rPr>
            </w:pPr>
            <w:r w:rsidRPr="004808B5">
              <w:rPr>
                <w:rFonts w:ascii="Calibri" w:hAnsi="Calibri" w:cs="Calibri"/>
                <w:color w:val="000000"/>
              </w:rPr>
              <w:t>Samuelson</w:t>
            </w:r>
          </w:p>
        </w:tc>
      </w:tr>
      <w:tr w:rsidR="004808B5" w:rsidRPr="004808B5" w14:paraId="39B39AA4"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21C47EC0" w14:textId="77777777" w:rsidR="004808B5" w:rsidRPr="004808B5" w:rsidRDefault="004808B5" w:rsidP="004808B5">
            <w:pPr>
              <w:rPr>
                <w:rFonts w:ascii="Calibri" w:hAnsi="Calibri" w:cs="Calibri"/>
                <w:color w:val="000000"/>
              </w:rPr>
            </w:pPr>
            <w:r w:rsidRPr="004808B5">
              <w:rPr>
                <w:rFonts w:ascii="Calibri" w:hAnsi="Calibri" w:cs="Calibri"/>
                <w:color w:val="000000"/>
              </w:rPr>
              <w:t>CEDMC</w:t>
            </w:r>
          </w:p>
        </w:tc>
        <w:tc>
          <w:tcPr>
            <w:tcW w:w="1112" w:type="dxa"/>
            <w:tcBorders>
              <w:top w:val="nil"/>
              <w:left w:val="nil"/>
              <w:bottom w:val="single" w:sz="4" w:space="0" w:color="auto"/>
              <w:right w:val="single" w:sz="4" w:space="0" w:color="auto"/>
            </w:tcBorders>
            <w:shd w:val="clear" w:color="auto" w:fill="auto"/>
            <w:noWrap/>
            <w:vAlign w:val="bottom"/>
            <w:hideMark/>
          </w:tcPr>
          <w:p w14:paraId="0A3F4D77" w14:textId="77777777" w:rsidR="004808B5" w:rsidRPr="004808B5" w:rsidRDefault="004808B5" w:rsidP="004808B5">
            <w:pPr>
              <w:rPr>
                <w:rFonts w:ascii="Calibri" w:hAnsi="Calibri" w:cs="Calibri"/>
                <w:color w:val="000000"/>
              </w:rPr>
            </w:pPr>
            <w:r w:rsidRPr="004808B5">
              <w:rPr>
                <w:rFonts w:ascii="Calibri" w:hAnsi="Calibri" w:cs="Calibri"/>
                <w:color w:val="000000"/>
              </w:rPr>
              <w:t>Greg</w:t>
            </w:r>
          </w:p>
        </w:tc>
        <w:tc>
          <w:tcPr>
            <w:tcW w:w="1872" w:type="dxa"/>
            <w:tcBorders>
              <w:top w:val="nil"/>
              <w:left w:val="nil"/>
              <w:bottom w:val="single" w:sz="4" w:space="0" w:color="auto"/>
              <w:right w:val="single" w:sz="4" w:space="0" w:color="auto"/>
            </w:tcBorders>
            <w:shd w:val="clear" w:color="auto" w:fill="auto"/>
            <w:noWrap/>
            <w:vAlign w:val="bottom"/>
            <w:hideMark/>
          </w:tcPr>
          <w:p w14:paraId="398B8D2C"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Wikler</w:t>
            </w:r>
            <w:proofErr w:type="spellEnd"/>
          </w:p>
        </w:tc>
      </w:tr>
      <w:tr w:rsidR="004808B5" w:rsidRPr="004808B5" w14:paraId="79E7F241"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A404E42" w14:textId="77777777" w:rsidR="004808B5" w:rsidRPr="004808B5" w:rsidRDefault="004808B5" w:rsidP="004808B5">
            <w:pPr>
              <w:rPr>
                <w:rFonts w:ascii="Calibri" w:hAnsi="Calibri" w:cs="Calibri"/>
                <w:color w:val="000000"/>
              </w:rPr>
            </w:pPr>
            <w:r w:rsidRPr="004808B5">
              <w:rPr>
                <w:rFonts w:ascii="Calibri" w:hAnsi="Calibri" w:cs="Calibri"/>
                <w:color w:val="000000"/>
              </w:rPr>
              <w:t>CEDMC</w:t>
            </w:r>
          </w:p>
        </w:tc>
        <w:tc>
          <w:tcPr>
            <w:tcW w:w="1112" w:type="dxa"/>
            <w:tcBorders>
              <w:top w:val="nil"/>
              <w:left w:val="nil"/>
              <w:bottom w:val="single" w:sz="4" w:space="0" w:color="auto"/>
              <w:right w:val="single" w:sz="4" w:space="0" w:color="auto"/>
            </w:tcBorders>
            <w:shd w:val="clear" w:color="auto" w:fill="auto"/>
            <w:noWrap/>
            <w:vAlign w:val="bottom"/>
            <w:hideMark/>
          </w:tcPr>
          <w:p w14:paraId="50071B28"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Serj</w:t>
            </w:r>
            <w:proofErr w:type="spellEnd"/>
          </w:p>
        </w:tc>
        <w:tc>
          <w:tcPr>
            <w:tcW w:w="1872" w:type="dxa"/>
            <w:tcBorders>
              <w:top w:val="nil"/>
              <w:left w:val="nil"/>
              <w:bottom w:val="single" w:sz="4" w:space="0" w:color="auto"/>
              <w:right w:val="single" w:sz="4" w:space="0" w:color="auto"/>
            </w:tcBorders>
            <w:shd w:val="clear" w:color="auto" w:fill="auto"/>
            <w:noWrap/>
            <w:vAlign w:val="bottom"/>
            <w:hideMark/>
          </w:tcPr>
          <w:p w14:paraId="3BA9BDED"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Berelson</w:t>
            </w:r>
            <w:proofErr w:type="spellEnd"/>
          </w:p>
        </w:tc>
      </w:tr>
      <w:tr w:rsidR="004808B5" w:rsidRPr="004808B5" w14:paraId="0EB12A94"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2459A8D" w14:textId="77777777" w:rsidR="004808B5" w:rsidRPr="004808B5" w:rsidRDefault="004808B5" w:rsidP="004808B5">
            <w:pPr>
              <w:rPr>
                <w:rFonts w:ascii="Calibri" w:hAnsi="Calibri" w:cs="Calibri"/>
                <w:color w:val="000000"/>
              </w:rPr>
            </w:pPr>
            <w:r w:rsidRPr="004808B5">
              <w:rPr>
                <w:rFonts w:ascii="Calibri" w:hAnsi="Calibri" w:cs="Calibri"/>
                <w:color w:val="000000"/>
              </w:rPr>
              <w:t>CEE</w:t>
            </w:r>
          </w:p>
        </w:tc>
        <w:tc>
          <w:tcPr>
            <w:tcW w:w="1112" w:type="dxa"/>
            <w:tcBorders>
              <w:top w:val="nil"/>
              <w:left w:val="nil"/>
              <w:bottom w:val="single" w:sz="4" w:space="0" w:color="auto"/>
              <w:right w:val="single" w:sz="4" w:space="0" w:color="auto"/>
            </w:tcBorders>
            <w:shd w:val="clear" w:color="auto" w:fill="auto"/>
            <w:noWrap/>
            <w:vAlign w:val="bottom"/>
            <w:hideMark/>
          </w:tcPr>
          <w:p w14:paraId="534705A3" w14:textId="77777777" w:rsidR="004808B5" w:rsidRPr="004808B5" w:rsidRDefault="004808B5" w:rsidP="004808B5">
            <w:pPr>
              <w:rPr>
                <w:rFonts w:ascii="Calibri" w:hAnsi="Calibri" w:cs="Calibri"/>
                <w:color w:val="000000"/>
              </w:rPr>
            </w:pPr>
            <w:r w:rsidRPr="004808B5">
              <w:rPr>
                <w:rFonts w:ascii="Calibri" w:hAnsi="Calibri" w:cs="Calibri"/>
                <w:color w:val="000000"/>
              </w:rPr>
              <w:t>Bernie</w:t>
            </w:r>
          </w:p>
        </w:tc>
        <w:tc>
          <w:tcPr>
            <w:tcW w:w="1872" w:type="dxa"/>
            <w:tcBorders>
              <w:top w:val="nil"/>
              <w:left w:val="nil"/>
              <w:bottom w:val="single" w:sz="4" w:space="0" w:color="auto"/>
              <w:right w:val="single" w:sz="4" w:space="0" w:color="auto"/>
            </w:tcBorders>
            <w:shd w:val="clear" w:color="auto" w:fill="auto"/>
            <w:noWrap/>
            <w:vAlign w:val="bottom"/>
            <w:hideMark/>
          </w:tcPr>
          <w:p w14:paraId="66B02610"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Kotlier</w:t>
            </w:r>
            <w:proofErr w:type="spellEnd"/>
          </w:p>
        </w:tc>
      </w:tr>
      <w:tr w:rsidR="004808B5" w:rsidRPr="004808B5" w14:paraId="0A43617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DBB1F6C" w14:textId="77777777" w:rsidR="004808B5" w:rsidRPr="004808B5" w:rsidRDefault="004808B5" w:rsidP="004808B5">
            <w:pPr>
              <w:rPr>
                <w:rFonts w:ascii="Calibri" w:hAnsi="Calibri" w:cs="Calibri"/>
                <w:color w:val="000000"/>
              </w:rPr>
            </w:pPr>
            <w:r w:rsidRPr="004808B5">
              <w:rPr>
                <w:rFonts w:ascii="Calibri" w:hAnsi="Calibri" w:cs="Calibri"/>
                <w:color w:val="000000"/>
              </w:rPr>
              <w:t>Center for Sustainable Energy</w:t>
            </w:r>
          </w:p>
        </w:tc>
        <w:tc>
          <w:tcPr>
            <w:tcW w:w="1112" w:type="dxa"/>
            <w:tcBorders>
              <w:top w:val="nil"/>
              <w:left w:val="nil"/>
              <w:bottom w:val="single" w:sz="4" w:space="0" w:color="auto"/>
              <w:right w:val="single" w:sz="4" w:space="0" w:color="auto"/>
            </w:tcBorders>
            <w:shd w:val="clear" w:color="auto" w:fill="auto"/>
            <w:noWrap/>
            <w:vAlign w:val="bottom"/>
            <w:hideMark/>
          </w:tcPr>
          <w:p w14:paraId="4EB139CA" w14:textId="77777777" w:rsidR="004808B5" w:rsidRPr="004808B5" w:rsidRDefault="004808B5" w:rsidP="004808B5">
            <w:pPr>
              <w:rPr>
                <w:rFonts w:ascii="Calibri" w:hAnsi="Calibri" w:cs="Calibri"/>
                <w:color w:val="000000"/>
              </w:rPr>
            </w:pPr>
            <w:r w:rsidRPr="004808B5">
              <w:rPr>
                <w:rFonts w:ascii="Calibri" w:hAnsi="Calibri" w:cs="Calibri"/>
                <w:color w:val="000000"/>
              </w:rPr>
              <w:t>Stephen</w:t>
            </w:r>
          </w:p>
        </w:tc>
        <w:tc>
          <w:tcPr>
            <w:tcW w:w="1872" w:type="dxa"/>
            <w:tcBorders>
              <w:top w:val="nil"/>
              <w:left w:val="nil"/>
              <w:bottom w:val="single" w:sz="4" w:space="0" w:color="auto"/>
              <w:right w:val="single" w:sz="4" w:space="0" w:color="auto"/>
            </w:tcBorders>
            <w:shd w:val="clear" w:color="auto" w:fill="auto"/>
            <w:noWrap/>
            <w:vAlign w:val="bottom"/>
            <w:hideMark/>
          </w:tcPr>
          <w:p w14:paraId="0002E622" w14:textId="77777777" w:rsidR="004808B5" w:rsidRPr="004808B5" w:rsidRDefault="004808B5" w:rsidP="004808B5">
            <w:pPr>
              <w:rPr>
                <w:rFonts w:ascii="Calibri" w:hAnsi="Calibri" w:cs="Calibri"/>
                <w:color w:val="000000"/>
              </w:rPr>
            </w:pPr>
            <w:r w:rsidRPr="004808B5">
              <w:rPr>
                <w:rFonts w:ascii="Calibri" w:hAnsi="Calibri" w:cs="Calibri"/>
                <w:color w:val="000000"/>
              </w:rPr>
              <w:t>Gunther</w:t>
            </w:r>
          </w:p>
        </w:tc>
      </w:tr>
      <w:tr w:rsidR="004808B5" w:rsidRPr="004808B5" w14:paraId="4A92827E"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5FF1E7F" w14:textId="77777777" w:rsidR="004808B5" w:rsidRPr="004808B5" w:rsidRDefault="004808B5" w:rsidP="004808B5">
            <w:pPr>
              <w:rPr>
                <w:rFonts w:ascii="Calibri" w:hAnsi="Calibri" w:cs="Calibri"/>
                <w:color w:val="000000"/>
              </w:rPr>
            </w:pPr>
            <w:r w:rsidRPr="004808B5">
              <w:rPr>
                <w:rFonts w:ascii="Calibri" w:hAnsi="Calibri" w:cs="Calibri"/>
                <w:color w:val="000000"/>
              </w:rPr>
              <w:t xml:space="preserve">Center for Sustainable Energy </w:t>
            </w:r>
          </w:p>
        </w:tc>
        <w:tc>
          <w:tcPr>
            <w:tcW w:w="1112" w:type="dxa"/>
            <w:tcBorders>
              <w:top w:val="nil"/>
              <w:left w:val="nil"/>
              <w:bottom w:val="single" w:sz="4" w:space="0" w:color="auto"/>
              <w:right w:val="single" w:sz="4" w:space="0" w:color="auto"/>
            </w:tcBorders>
            <w:shd w:val="clear" w:color="auto" w:fill="auto"/>
            <w:noWrap/>
            <w:vAlign w:val="bottom"/>
            <w:hideMark/>
          </w:tcPr>
          <w:p w14:paraId="3741D702" w14:textId="77777777" w:rsidR="004808B5" w:rsidRPr="004808B5" w:rsidRDefault="004808B5" w:rsidP="004808B5">
            <w:pPr>
              <w:rPr>
                <w:rFonts w:ascii="Calibri" w:hAnsi="Calibri" w:cs="Calibri"/>
                <w:color w:val="000000"/>
              </w:rPr>
            </w:pPr>
            <w:r w:rsidRPr="004808B5">
              <w:rPr>
                <w:rFonts w:ascii="Calibri" w:hAnsi="Calibri" w:cs="Calibri"/>
                <w:color w:val="000000"/>
              </w:rPr>
              <w:t>Raghav</w:t>
            </w:r>
          </w:p>
        </w:tc>
        <w:tc>
          <w:tcPr>
            <w:tcW w:w="1872" w:type="dxa"/>
            <w:tcBorders>
              <w:top w:val="nil"/>
              <w:left w:val="nil"/>
              <w:bottom w:val="single" w:sz="4" w:space="0" w:color="auto"/>
              <w:right w:val="single" w:sz="4" w:space="0" w:color="auto"/>
            </w:tcBorders>
            <w:shd w:val="clear" w:color="auto" w:fill="auto"/>
            <w:noWrap/>
            <w:vAlign w:val="bottom"/>
            <w:hideMark/>
          </w:tcPr>
          <w:p w14:paraId="73E24589" w14:textId="77777777" w:rsidR="004808B5" w:rsidRPr="004808B5" w:rsidRDefault="004808B5" w:rsidP="004808B5">
            <w:pPr>
              <w:rPr>
                <w:rFonts w:ascii="Calibri" w:hAnsi="Calibri" w:cs="Calibri"/>
                <w:color w:val="000000"/>
              </w:rPr>
            </w:pPr>
            <w:r w:rsidRPr="004808B5">
              <w:rPr>
                <w:rFonts w:ascii="Calibri" w:hAnsi="Calibri" w:cs="Calibri"/>
                <w:color w:val="000000"/>
              </w:rPr>
              <w:t>Murali</w:t>
            </w:r>
          </w:p>
        </w:tc>
      </w:tr>
      <w:tr w:rsidR="004808B5" w:rsidRPr="004808B5" w14:paraId="30050E3B"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1A50100"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CodeCycle</w:t>
            </w:r>
            <w:proofErr w:type="spellEnd"/>
          </w:p>
        </w:tc>
        <w:tc>
          <w:tcPr>
            <w:tcW w:w="1112" w:type="dxa"/>
            <w:tcBorders>
              <w:top w:val="nil"/>
              <w:left w:val="nil"/>
              <w:bottom w:val="single" w:sz="4" w:space="0" w:color="auto"/>
              <w:right w:val="single" w:sz="4" w:space="0" w:color="auto"/>
            </w:tcBorders>
            <w:shd w:val="clear" w:color="auto" w:fill="auto"/>
            <w:noWrap/>
            <w:vAlign w:val="bottom"/>
            <w:hideMark/>
          </w:tcPr>
          <w:p w14:paraId="6224460C" w14:textId="77777777" w:rsidR="004808B5" w:rsidRPr="004808B5" w:rsidRDefault="004808B5" w:rsidP="004808B5">
            <w:pPr>
              <w:rPr>
                <w:rFonts w:ascii="Calibri" w:hAnsi="Calibri" w:cs="Calibri"/>
                <w:color w:val="000000"/>
              </w:rPr>
            </w:pPr>
            <w:r w:rsidRPr="004808B5">
              <w:rPr>
                <w:rFonts w:ascii="Calibri" w:hAnsi="Calibri" w:cs="Calibri"/>
                <w:color w:val="000000"/>
              </w:rPr>
              <w:t>Dan</w:t>
            </w:r>
          </w:p>
        </w:tc>
        <w:tc>
          <w:tcPr>
            <w:tcW w:w="1872" w:type="dxa"/>
            <w:tcBorders>
              <w:top w:val="nil"/>
              <w:left w:val="nil"/>
              <w:bottom w:val="single" w:sz="4" w:space="0" w:color="auto"/>
              <w:right w:val="single" w:sz="4" w:space="0" w:color="auto"/>
            </w:tcBorders>
            <w:shd w:val="clear" w:color="auto" w:fill="auto"/>
            <w:noWrap/>
            <w:vAlign w:val="bottom"/>
            <w:hideMark/>
          </w:tcPr>
          <w:p w14:paraId="24A02DAD"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Suyeyasu</w:t>
            </w:r>
            <w:proofErr w:type="spellEnd"/>
          </w:p>
        </w:tc>
      </w:tr>
      <w:tr w:rsidR="004808B5" w:rsidRPr="004808B5" w14:paraId="29DEF86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CFFB2BE" w14:textId="77777777" w:rsidR="004808B5" w:rsidRPr="004808B5" w:rsidRDefault="004808B5" w:rsidP="004808B5">
            <w:pPr>
              <w:rPr>
                <w:rFonts w:ascii="Calibri" w:hAnsi="Calibri" w:cs="Calibri"/>
                <w:color w:val="000000"/>
              </w:rPr>
            </w:pPr>
            <w:r w:rsidRPr="004808B5">
              <w:rPr>
                <w:rFonts w:ascii="Calibri" w:hAnsi="Calibri" w:cs="Calibri"/>
                <w:color w:val="000000"/>
              </w:rPr>
              <w:t>CPUC / Presenter</w:t>
            </w:r>
          </w:p>
        </w:tc>
        <w:tc>
          <w:tcPr>
            <w:tcW w:w="1112" w:type="dxa"/>
            <w:tcBorders>
              <w:top w:val="nil"/>
              <w:left w:val="nil"/>
              <w:bottom w:val="single" w:sz="4" w:space="0" w:color="auto"/>
              <w:right w:val="single" w:sz="4" w:space="0" w:color="auto"/>
            </w:tcBorders>
            <w:shd w:val="clear" w:color="auto" w:fill="auto"/>
            <w:noWrap/>
            <w:vAlign w:val="bottom"/>
            <w:hideMark/>
          </w:tcPr>
          <w:p w14:paraId="0878FD8A" w14:textId="77777777" w:rsidR="004808B5" w:rsidRPr="004808B5" w:rsidRDefault="004808B5" w:rsidP="004808B5">
            <w:pPr>
              <w:rPr>
                <w:rFonts w:ascii="Calibri" w:hAnsi="Calibri" w:cs="Calibri"/>
                <w:color w:val="000000"/>
              </w:rPr>
            </w:pPr>
            <w:r w:rsidRPr="004808B5">
              <w:rPr>
                <w:rFonts w:ascii="Calibri" w:hAnsi="Calibri" w:cs="Calibri"/>
                <w:color w:val="000000"/>
              </w:rPr>
              <w:t>Christie</w:t>
            </w:r>
          </w:p>
        </w:tc>
        <w:tc>
          <w:tcPr>
            <w:tcW w:w="1872" w:type="dxa"/>
            <w:tcBorders>
              <w:top w:val="nil"/>
              <w:left w:val="nil"/>
              <w:bottom w:val="single" w:sz="4" w:space="0" w:color="auto"/>
              <w:right w:val="single" w:sz="4" w:space="0" w:color="auto"/>
            </w:tcBorders>
            <w:shd w:val="clear" w:color="auto" w:fill="auto"/>
            <w:noWrap/>
            <w:vAlign w:val="bottom"/>
            <w:hideMark/>
          </w:tcPr>
          <w:p w14:paraId="24A35ACC"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Torok</w:t>
            </w:r>
            <w:proofErr w:type="spellEnd"/>
          </w:p>
        </w:tc>
      </w:tr>
      <w:tr w:rsidR="004808B5" w:rsidRPr="004808B5" w14:paraId="1BA30B38"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69ECA5BD" w14:textId="77777777" w:rsidR="004808B5" w:rsidRPr="004808B5" w:rsidRDefault="004808B5" w:rsidP="004808B5">
            <w:pPr>
              <w:rPr>
                <w:rFonts w:ascii="Calibri" w:hAnsi="Calibri" w:cs="Calibri"/>
                <w:color w:val="000000"/>
              </w:rPr>
            </w:pPr>
            <w:r w:rsidRPr="004808B5">
              <w:rPr>
                <w:rFonts w:ascii="Calibri" w:hAnsi="Calibri" w:cs="Calibri"/>
                <w:color w:val="000000"/>
              </w:rPr>
              <w:t>DAC</w:t>
            </w:r>
          </w:p>
        </w:tc>
        <w:tc>
          <w:tcPr>
            <w:tcW w:w="1112" w:type="dxa"/>
            <w:tcBorders>
              <w:top w:val="nil"/>
              <w:left w:val="nil"/>
              <w:bottom w:val="single" w:sz="4" w:space="0" w:color="auto"/>
              <w:right w:val="single" w:sz="4" w:space="0" w:color="auto"/>
            </w:tcBorders>
            <w:shd w:val="clear" w:color="auto" w:fill="auto"/>
            <w:noWrap/>
            <w:vAlign w:val="bottom"/>
            <w:hideMark/>
          </w:tcPr>
          <w:p w14:paraId="369F3C72" w14:textId="77777777" w:rsidR="004808B5" w:rsidRPr="004808B5" w:rsidRDefault="004808B5" w:rsidP="004808B5">
            <w:pPr>
              <w:rPr>
                <w:rFonts w:ascii="Calibri" w:hAnsi="Calibri" w:cs="Calibri"/>
                <w:color w:val="000000"/>
              </w:rPr>
            </w:pPr>
            <w:r w:rsidRPr="004808B5">
              <w:rPr>
                <w:rFonts w:ascii="Calibri" w:hAnsi="Calibri" w:cs="Calibri"/>
                <w:color w:val="000000"/>
              </w:rPr>
              <w:t>Don</w:t>
            </w:r>
          </w:p>
        </w:tc>
        <w:tc>
          <w:tcPr>
            <w:tcW w:w="1872" w:type="dxa"/>
            <w:tcBorders>
              <w:top w:val="nil"/>
              <w:left w:val="nil"/>
              <w:bottom w:val="single" w:sz="4" w:space="0" w:color="auto"/>
              <w:right w:val="single" w:sz="4" w:space="0" w:color="auto"/>
            </w:tcBorders>
            <w:shd w:val="clear" w:color="auto" w:fill="auto"/>
            <w:noWrap/>
            <w:vAlign w:val="bottom"/>
            <w:hideMark/>
          </w:tcPr>
          <w:p w14:paraId="15DEB3C3"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Arambula</w:t>
            </w:r>
            <w:proofErr w:type="spellEnd"/>
          </w:p>
        </w:tc>
      </w:tr>
      <w:tr w:rsidR="004808B5" w:rsidRPr="004808B5" w14:paraId="2D4EE98A"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8F232D7" w14:textId="77777777" w:rsidR="004808B5" w:rsidRPr="004808B5" w:rsidRDefault="004808B5" w:rsidP="004808B5">
            <w:pPr>
              <w:rPr>
                <w:rFonts w:ascii="Calibri" w:hAnsi="Calibri" w:cs="Calibri"/>
                <w:color w:val="000000"/>
              </w:rPr>
            </w:pPr>
            <w:r w:rsidRPr="004808B5">
              <w:rPr>
                <w:rFonts w:ascii="Calibri" w:hAnsi="Calibri" w:cs="Calibri"/>
                <w:color w:val="000000"/>
              </w:rPr>
              <w:t>EAJ Energy Advisors, LLC</w:t>
            </w:r>
          </w:p>
        </w:tc>
        <w:tc>
          <w:tcPr>
            <w:tcW w:w="1112" w:type="dxa"/>
            <w:tcBorders>
              <w:top w:val="nil"/>
              <w:left w:val="nil"/>
              <w:bottom w:val="single" w:sz="4" w:space="0" w:color="auto"/>
              <w:right w:val="single" w:sz="4" w:space="0" w:color="auto"/>
            </w:tcBorders>
            <w:shd w:val="clear" w:color="auto" w:fill="auto"/>
            <w:noWrap/>
            <w:vAlign w:val="bottom"/>
            <w:hideMark/>
          </w:tcPr>
          <w:p w14:paraId="5E955797" w14:textId="77777777" w:rsidR="004808B5" w:rsidRPr="004808B5" w:rsidRDefault="004808B5" w:rsidP="004808B5">
            <w:pPr>
              <w:rPr>
                <w:rFonts w:ascii="Calibri" w:hAnsi="Calibri" w:cs="Calibri"/>
                <w:color w:val="000000"/>
              </w:rPr>
            </w:pPr>
            <w:r w:rsidRPr="004808B5">
              <w:rPr>
                <w:rFonts w:ascii="Calibri" w:hAnsi="Calibri" w:cs="Calibri"/>
                <w:color w:val="000000"/>
              </w:rPr>
              <w:t>Norman</w:t>
            </w:r>
          </w:p>
        </w:tc>
        <w:tc>
          <w:tcPr>
            <w:tcW w:w="1872" w:type="dxa"/>
            <w:tcBorders>
              <w:top w:val="nil"/>
              <w:left w:val="nil"/>
              <w:bottom w:val="single" w:sz="4" w:space="0" w:color="auto"/>
              <w:right w:val="single" w:sz="4" w:space="0" w:color="auto"/>
            </w:tcBorders>
            <w:shd w:val="clear" w:color="auto" w:fill="auto"/>
            <w:noWrap/>
            <w:vAlign w:val="bottom"/>
            <w:hideMark/>
          </w:tcPr>
          <w:p w14:paraId="224E34DE" w14:textId="77777777" w:rsidR="004808B5" w:rsidRPr="004808B5" w:rsidRDefault="004808B5" w:rsidP="004808B5">
            <w:pPr>
              <w:rPr>
                <w:rFonts w:ascii="Calibri" w:hAnsi="Calibri" w:cs="Calibri"/>
                <w:color w:val="000000"/>
              </w:rPr>
            </w:pPr>
            <w:r w:rsidRPr="004808B5">
              <w:rPr>
                <w:rFonts w:ascii="Calibri" w:hAnsi="Calibri" w:cs="Calibri"/>
                <w:color w:val="000000"/>
              </w:rPr>
              <w:t>Stone</w:t>
            </w:r>
          </w:p>
        </w:tc>
      </w:tr>
      <w:tr w:rsidR="004808B5" w:rsidRPr="004808B5" w14:paraId="0EBD7BE0"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7621226"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Enervee</w:t>
            </w:r>
            <w:proofErr w:type="spellEnd"/>
          </w:p>
        </w:tc>
        <w:tc>
          <w:tcPr>
            <w:tcW w:w="1112" w:type="dxa"/>
            <w:tcBorders>
              <w:top w:val="nil"/>
              <w:left w:val="nil"/>
              <w:bottom w:val="single" w:sz="4" w:space="0" w:color="auto"/>
              <w:right w:val="single" w:sz="4" w:space="0" w:color="auto"/>
            </w:tcBorders>
            <w:shd w:val="clear" w:color="auto" w:fill="auto"/>
            <w:noWrap/>
            <w:vAlign w:val="bottom"/>
            <w:hideMark/>
          </w:tcPr>
          <w:p w14:paraId="185F0C6E" w14:textId="77777777" w:rsidR="004808B5" w:rsidRPr="004808B5" w:rsidRDefault="004808B5" w:rsidP="004808B5">
            <w:pPr>
              <w:rPr>
                <w:rFonts w:ascii="Calibri" w:hAnsi="Calibri" w:cs="Calibri"/>
                <w:color w:val="000000"/>
              </w:rPr>
            </w:pPr>
            <w:r w:rsidRPr="004808B5">
              <w:rPr>
                <w:rFonts w:ascii="Calibri" w:hAnsi="Calibri" w:cs="Calibri"/>
                <w:color w:val="000000"/>
              </w:rPr>
              <w:t>Anne</w:t>
            </w:r>
          </w:p>
        </w:tc>
        <w:tc>
          <w:tcPr>
            <w:tcW w:w="1872" w:type="dxa"/>
            <w:tcBorders>
              <w:top w:val="nil"/>
              <w:left w:val="nil"/>
              <w:bottom w:val="single" w:sz="4" w:space="0" w:color="auto"/>
              <w:right w:val="single" w:sz="4" w:space="0" w:color="auto"/>
            </w:tcBorders>
            <w:shd w:val="clear" w:color="auto" w:fill="auto"/>
            <w:noWrap/>
            <w:vAlign w:val="bottom"/>
            <w:hideMark/>
          </w:tcPr>
          <w:p w14:paraId="116C9C86"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Arquit</w:t>
            </w:r>
            <w:proofErr w:type="spellEnd"/>
          </w:p>
        </w:tc>
      </w:tr>
      <w:tr w:rsidR="004808B5" w:rsidRPr="004808B5" w14:paraId="6672E25C"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64606E3"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Enervee</w:t>
            </w:r>
            <w:proofErr w:type="spellEnd"/>
          </w:p>
        </w:tc>
        <w:tc>
          <w:tcPr>
            <w:tcW w:w="1112" w:type="dxa"/>
            <w:tcBorders>
              <w:top w:val="nil"/>
              <w:left w:val="nil"/>
              <w:bottom w:val="single" w:sz="4" w:space="0" w:color="auto"/>
              <w:right w:val="single" w:sz="4" w:space="0" w:color="auto"/>
            </w:tcBorders>
            <w:shd w:val="clear" w:color="auto" w:fill="auto"/>
            <w:noWrap/>
            <w:vAlign w:val="bottom"/>
            <w:hideMark/>
          </w:tcPr>
          <w:p w14:paraId="1782E305" w14:textId="77777777" w:rsidR="004808B5" w:rsidRPr="004808B5" w:rsidRDefault="004808B5" w:rsidP="004808B5">
            <w:pPr>
              <w:rPr>
                <w:rFonts w:ascii="Calibri" w:hAnsi="Calibri" w:cs="Calibri"/>
                <w:color w:val="000000"/>
              </w:rPr>
            </w:pPr>
            <w:r w:rsidRPr="004808B5">
              <w:rPr>
                <w:rFonts w:ascii="Calibri" w:hAnsi="Calibri" w:cs="Calibri"/>
                <w:color w:val="000000"/>
              </w:rPr>
              <w:t>Jon</w:t>
            </w:r>
          </w:p>
        </w:tc>
        <w:tc>
          <w:tcPr>
            <w:tcW w:w="1872" w:type="dxa"/>
            <w:tcBorders>
              <w:top w:val="nil"/>
              <w:left w:val="nil"/>
              <w:bottom w:val="single" w:sz="4" w:space="0" w:color="auto"/>
              <w:right w:val="single" w:sz="4" w:space="0" w:color="auto"/>
            </w:tcBorders>
            <w:shd w:val="clear" w:color="auto" w:fill="auto"/>
            <w:noWrap/>
            <w:vAlign w:val="bottom"/>
            <w:hideMark/>
          </w:tcPr>
          <w:p w14:paraId="134C0545" w14:textId="77777777" w:rsidR="004808B5" w:rsidRPr="004808B5" w:rsidRDefault="004808B5" w:rsidP="004808B5">
            <w:pPr>
              <w:rPr>
                <w:rFonts w:ascii="Calibri" w:hAnsi="Calibri" w:cs="Calibri"/>
                <w:color w:val="000000"/>
              </w:rPr>
            </w:pPr>
            <w:r w:rsidRPr="004808B5">
              <w:rPr>
                <w:rFonts w:ascii="Calibri" w:hAnsi="Calibri" w:cs="Calibri"/>
                <w:color w:val="000000"/>
              </w:rPr>
              <w:t>Gordon</w:t>
            </w:r>
          </w:p>
        </w:tc>
      </w:tr>
      <w:tr w:rsidR="004808B5" w:rsidRPr="004808B5" w14:paraId="147B06C3"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6062C966" w14:textId="77777777" w:rsidR="004808B5" w:rsidRPr="004808B5" w:rsidRDefault="004808B5" w:rsidP="004808B5">
            <w:pPr>
              <w:rPr>
                <w:rFonts w:ascii="Calibri" w:hAnsi="Calibri" w:cs="Calibri"/>
                <w:color w:val="000000"/>
              </w:rPr>
            </w:pPr>
            <w:r w:rsidRPr="004808B5">
              <w:rPr>
                <w:rFonts w:ascii="Calibri" w:hAnsi="Calibri" w:cs="Calibri"/>
                <w:color w:val="000000"/>
              </w:rPr>
              <w:t>Franklin Energy Services</w:t>
            </w:r>
          </w:p>
        </w:tc>
        <w:tc>
          <w:tcPr>
            <w:tcW w:w="1112" w:type="dxa"/>
            <w:tcBorders>
              <w:top w:val="nil"/>
              <w:left w:val="nil"/>
              <w:bottom w:val="single" w:sz="4" w:space="0" w:color="auto"/>
              <w:right w:val="single" w:sz="4" w:space="0" w:color="auto"/>
            </w:tcBorders>
            <w:shd w:val="clear" w:color="auto" w:fill="auto"/>
            <w:noWrap/>
            <w:vAlign w:val="bottom"/>
            <w:hideMark/>
          </w:tcPr>
          <w:p w14:paraId="48D53010" w14:textId="77777777" w:rsidR="004808B5" w:rsidRPr="004808B5" w:rsidRDefault="004808B5" w:rsidP="004808B5">
            <w:pPr>
              <w:rPr>
                <w:rFonts w:ascii="Calibri" w:hAnsi="Calibri" w:cs="Calibri"/>
                <w:color w:val="000000"/>
              </w:rPr>
            </w:pPr>
            <w:r w:rsidRPr="004808B5">
              <w:rPr>
                <w:rFonts w:ascii="Calibri" w:hAnsi="Calibri" w:cs="Calibri"/>
                <w:color w:val="000000"/>
              </w:rPr>
              <w:t>David</w:t>
            </w:r>
          </w:p>
        </w:tc>
        <w:tc>
          <w:tcPr>
            <w:tcW w:w="1872" w:type="dxa"/>
            <w:tcBorders>
              <w:top w:val="nil"/>
              <w:left w:val="nil"/>
              <w:bottom w:val="single" w:sz="4" w:space="0" w:color="auto"/>
              <w:right w:val="single" w:sz="4" w:space="0" w:color="auto"/>
            </w:tcBorders>
            <w:shd w:val="clear" w:color="auto" w:fill="auto"/>
            <w:noWrap/>
            <w:vAlign w:val="bottom"/>
            <w:hideMark/>
          </w:tcPr>
          <w:p w14:paraId="35A19FC5" w14:textId="77777777" w:rsidR="004808B5" w:rsidRPr="004808B5" w:rsidRDefault="004808B5" w:rsidP="004808B5">
            <w:pPr>
              <w:rPr>
                <w:rFonts w:ascii="Calibri" w:hAnsi="Calibri" w:cs="Calibri"/>
                <w:color w:val="000000"/>
              </w:rPr>
            </w:pPr>
            <w:r w:rsidRPr="004808B5">
              <w:rPr>
                <w:rFonts w:ascii="Calibri" w:hAnsi="Calibri" w:cs="Calibri"/>
                <w:color w:val="000000"/>
              </w:rPr>
              <w:t>Myers</w:t>
            </w:r>
          </w:p>
        </w:tc>
      </w:tr>
      <w:tr w:rsidR="004808B5" w:rsidRPr="004808B5" w14:paraId="16DCCE73"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EBF112C" w14:textId="77777777" w:rsidR="004808B5" w:rsidRPr="004808B5" w:rsidRDefault="004808B5" w:rsidP="004808B5">
            <w:pPr>
              <w:rPr>
                <w:rFonts w:ascii="Calibri" w:hAnsi="Calibri" w:cs="Calibri"/>
                <w:color w:val="000000"/>
              </w:rPr>
            </w:pPr>
            <w:r w:rsidRPr="004808B5">
              <w:rPr>
                <w:rFonts w:ascii="Calibri" w:hAnsi="Calibri" w:cs="Calibri"/>
                <w:color w:val="000000"/>
              </w:rPr>
              <w:t>FS Consulting</w:t>
            </w:r>
          </w:p>
        </w:tc>
        <w:tc>
          <w:tcPr>
            <w:tcW w:w="1112" w:type="dxa"/>
            <w:tcBorders>
              <w:top w:val="nil"/>
              <w:left w:val="nil"/>
              <w:bottom w:val="single" w:sz="4" w:space="0" w:color="auto"/>
              <w:right w:val="single" w:sz="4" w:space="0" w:color="auto"/>
            </w:tcBorders>
            <w:shd w:val="clear" w:color="auto" w:fill="auto"/>
            <w:noWrap/>
            <w:vAlign w:val="bottom"/>
            <w:hideMark/>
          </w:tcPr>
          <w:p w14:paraId="1302B6E1" w14:textId="77777777" w:rsidR="004808B5" w:rsidRPr="004808B5" w:rsidRDefault="004808B5" w:rsidP="004808B5">
            <w:pPr>
              <w:rPr>
                <w:rFonts w:ascii="Calibri" w:hAnsi="Calibri" w:cs="Calibri"/>
                <w:color w:val="000000"/>
              </w:rPr>
            </w:pPr>
            <w:r w:rsidRPr="004808B5">
              <w:rPr>
                <w:rFonts w:ascii="Calibri" w:hAnsi="Calibri" w:cs="Calibri"/>
                <w:color w:val="000000"/>
              </w:rPr>
              <w:t>Frank</w:t>
            </w:r>
          </w:p>
        </w:tc>
        <w:tc>
          <w:tcPr>
            <w:tcW w:w="1872" w:type="dxa"/>
            <w:tcBorders>
              <w:top w:val="nil"/>
              <w:left w:val="nil"/>
              <w:bottom w:val="single" w:sz="4" w:space="0" w:color="auto"/>
              <w:right w:val="single" w:sz="4" w:space="0" w:color="auto"/>
            </w:tcBorders>
            <w:shd w:val="clear" w:color="auto" w:fill="auto"/>
            <w:noWrap/>
            <w:vAlign w:val="bottom"/>
            <w:hideMark/>
          </w:tcPr>
          <w:p w14:paraId="6A2E8CCF"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Spasaro</w:t>
            </w:r>
            <w:proofErr w:type="spellEnd"/>
          </w:p>
        </w:tc>
      </w:tr>
      <w:tr w:rsidR="004808B5" w:rsidRPr="004808B5" w14:paraId="24C3EC6F"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2FE8BED0" w14:textId="77777777" w:rsidR="004808B5" w:rsidRPr="004808B5" w:rsidRDefault="004808B5" w:rsidP="004808B5">
            <w:pPr>
              <w:rPr>
                <w:rFonts w:ascii="Calibri" w:hAnsi="Calibri" w:cs="Calibri"/>
                <w:color w:val="000000"/>
              </w:rPr>
            </w:pPr>
            <w:r w:rsidRPr="004808B5">
              <w:rPr>
                <w:rFonts w:ascii="Calibri" w:hAnsi="Calibri" w:cs="Calibri"/>
                <w:color w:val="000000"/>
              </w:rPr>
              <w:t xml:space="preserve">Jay </w:t>
            </w:r>
            <w:proofErr w:type="spellStart"/>
            <w:r w:rsidRPr="004808B5">
              <w:rPr>
                <w:rFonts w:ascii="Calibri" w:hAnsi="Calibri" w:cs="Calibri"/>
                <w:color w:val="000000"/>
              </w:rPr>
              <w:t>Luboff</w:t>
            </w:r>
            <w:proofErr w:type="spellEnd"/>
            <w:r w:rsidRPr="004808B5">
              <w:rPr>
                <w:rFonts w:ascii="Calibri" w:hAnsi="Calibri" w:cs="Calibri"/>
                <w:color w:val="000000"/>
              </w:rPr>
              <w:t xml:space="preserve"> Consulting</w:t>
            </w:r>
          </w:p>
        </w:tc>
        <w:tc>
          <w:tcPr>
            <w:tcW w:w="1112" w:type="dxa"/>
            <w:tcBorders>
              <w:top w:val="nil"/>
              <w:left w:val="nil"/>
              <w:bottom w:val="single" w:sz="4" w:space="0" w:color="auto"/>
              <w:right w:val="single" w:sz="4" w:space="0" w:color="auto"/>
            </w:tcBorders>
            <w:shd w:val="clear" w:color="auto" w:fill="auto"/>
            <w:noWrap/>
            <w:vAlign w:val="bottom"/>
            <w:hideMark/>
          </w:tcPr>
          <w:p w14:paraId="0EECEB69" w14:textId="77777777" w:rsidR="004808B5" w:rsidRPr="004808B5" w:rsidRDefault="004808B5" w:rsidP="004808B5">
            <w:pPr>
              <w:rPr>
                <w:rFonts w:ascii="Calibri" w:hAnsi="Calibri" w:cs="Calibri"/>
                <w:color w:val="000000"/>
              </w:rPr>
            </w:pPr>
            <w:r w:rsidRPr="004808B5">
              <w:rPr>
                <w:rFonts w:ascii="Calibri" w:hAnsi="Calibri" w:cs="Calibri"/>
                <w:color w:val="000000"/>
              </w:rPr>
              <w:t>Jay</w:t>
            </w:r>
          </w:p>
        </w:tc>
        <w:tc>
          <w:tcPr>
            <w:tcW w:w="1872" w:type="dxa"/>
            <w:tcBorders>
              <w:top w:val="nil"/>
              <w:left w:val="nil"/>
              <w:bottom w:val="single" w:sz="4" w:space="0" w:color="auto"/>
              <w:right w:val="single" w:sz="4" w:space="0" w:color="auto"/>
            </w:tcBorders>
            <w:shd w:val="clear" w:color="auto" w:fill="auto"/>
            <w:noWrap/>
            <w:vAlign w:val="bottom"/>
            <w:hideMark/>
          </w:tcPr>
          <w:p w14:paraId="320FD750"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Luboff</w:t>
            </w:r>
            <w:proofErr w:type="spellEnd"/>
          </w:p>
        </w:tc>
      </w:tr>
      <w:tr w:rsidR="004808B5" w:rsidRPr="004808B5" w14:paraId="6F23535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B522609" w14:textId="77777777" w:rsidR="004808B5" w:rsidRPr="004808B5" w:rsidRDefault="004808B5" w:rsidP="004808B5">
            <w:pPr>
              <w:rPr>
                <w:rFonts w:ascii="Calibri" w:hAnsi="Calibri" w:cs="Calibri"/>
                <w:color w:val="000000"/>
              </w:rPr>
            </w:pPr>
            <w:r w:rsidRPr="004808B5">
              <w:rPr>
                <w:rFonts w:ascii="Calibri" w:hAnsi="Calibri" w:cs="Calibri"/>
                <w:color w:val="000000"/>
              </w:rPr>
              <w:t>JCEEP</w:t>
            </w:r>
          </w:p>
        </w:tc>
        <w:tc>
          <w:tcPr>
            <w:tcW w:w="1112" w:type="dxa"/>
            <w:tcBorders>
              <w:top w:val="nil"/>
              <w:left w:val="nil"/>
              <w:bottom w:val="single" w:sz="4" w:space="0" w:color="auto"/>
              <w:right w:val="single" w:sz="4" w:space="0" w:color="auto"/>
            </w:tcBorders>
            <w:shd w:val="clear" w:color="auto" w:fill="auto"/>
            <w:noWrap/>
            <w:vAlign w:val="bottom"/>
            <w:hideMark/>
          </w:tcPr>
          <w:p w14:paraId="6989D439" w14:textId="77777777" w:rsidR="004808B5" w:rsidRPr="004808B5" w:rsidRDefault="004808B5" w:rsidP="004808B5">
            <w:pPr>
              <w:rPr>
                <w:rFonts w:ascii="Calibri" w:hAnsi="Calibri" w:cs="Calibri"/>
                <w:color w:val="000000"/>
              </w:rPr>
            </w:pPr>
            <w:r w:rsidRPr="004808B5">
              <w:rPr>
                <w:rFonts w:ascii="Calibri" w:hAnsi="Calibri" w:cs="Calibri"/>
                <w:color w:val="000000"/>
              </w:rPr>
              <w:t>Randy</w:t>
            </w:r>
          </w:p>
        </w:tc>
        <w:tc>
          <w:tcPr>
            <w:tcW w:w="1872" w:type="dxa"/>
            <w:tcBorders>
              <w:top w:val="nil"/>
              <w:left w:val="nil"/>
              <w:bottom w:val="single" w:sz="4" w:space="0" w:color="auto"/>
              <w:right w:val="single" w:sz="4" w:space="0" w:color="auto"/>
            </w:tcBorders>
            <w:shd w:val="clear" w:color="auto" w:fill="auto"/>
            <w:noWrap/>
            <w:vAlign w:val="bottom"/>
            <w:hideMark/>
          </w:tcPr>
          <w:p w14:paraId="679F8E4F" w14:textId="77777777" w:rsidR="004808B5" w:rsidRPr="004808B5" w:rsidRDefault="004808B5" w:rsidP="004808B5">
            <w:pPr>
              <w:rPr>
                <w:rFonts w:ascii="Calibri" w:hAnsi="Calibri" w:cs="Calibri"/>
                <w:color w:val="000000"/>
              </w:rPr>
            </w:pPr>
            <w:r w:rsidRPr="004808B5">
              <w:rPr>
                <w:rFonts w:ascii="Calibri" w:hAnsi="Calibri" w:cs="Calibri"/>
                <w:color w:val="000000"/>
              </w:rPr>
              <w:t>Young</w:t>
            </w:r>
          </w:p>
        </w:tc>
      </w:tr>
      <w:tr w:rsidR="004808B5" w:rsidRPr="004808B5" w14:paraId="6F78B15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94177B1" w14:textId="77777777" w:rsidR="004808B5" w:rsidRPr="004808B5" w:rsidRDefault="004808B5" w:rsidP="004808B5">
            <w:pPr>
              <w:rPr>
                <w:rFonts w:ascii="Calibri" w:hAnsi="Calibri" w:cs="Calibri"/>
                <w:color w:val="000000"/>
              </w:rPr>
            </w:pPr>
            <w:r w:rsidRPr="004808B5">
              <w:rPr>
                <w:rFonts w:ascii="Calibri" w:hAnsi="Calibri" w:cs="Calibri"/>
                <w:color w:val="000000"/>
              </w:rPr>
              <w:t>NEEA</w:t>
            </w:r>
          </w:p>
        </w:tc>
        <w:tc>
          <w:tcPr>
            <w:tcW w:w="1112" w:type="dxa"/>
            <w:tcBorders>
              <w:top w:val="nil"/>
              <w:left w:val="nil"/>
              <w:bottom w:val="single" w:sz="4" w:space="0" w:color="auto"/>
              <w:right w:val="single" w:sz="4" w:space="0" w:color="auto"/>
            </w:tcBorders>
            <w:shd w:val="clear" w:color="auto" w:fill="auto"/>
            <w:noWrap/>
            <w:vAlign w:val="bottom"/>
            <w:hideMark/>
          </w:tcPr>
          <w:p w14:paraId="1F998C9B" w14:textId="77777777" w:rsidR="004808B5" w:rsidRPr="004808B5" w:rsidRDefault="004808B5" w:rsidP="004808B5">
            <w:pPr>
              <w:rPr>
                <w:rFonts w:ascii="Calibri" w:hAnsi="Calibri" w:cs="Calibri"/>
                <w:color w:val="000000"/>
              </w:rPr>
            </w:pPr>
            <w:r w:rsidRPr="004808B5">
              <w:rPr>
                <w:rFonts w:ascii="Calibri" w:hAnsi="Calibri" w:cs="Calibri"/>
                <w:color w:val="000000"/>
              </w:rPr>
              <w:t>Jeff</w:t>
            </w:r>
          </w:p>
        </w:tc>
        <w:tc>
          <w:tcPr>
            <w:tcW w:w="1872" w:type="dxa"/>
            <w:tcBorders>
              <w:top w:val="nil"/>
              <w:left w:val="nil"/>
              <w:bottom w:val="single" w:sz="4" w:space="0" w:color="auto"/>
              <w:right w:val="single" w:sz="4" w:space="0" w:color="auto"/>
            </w:tcBorders>
            <w:shd w:val="clear" w:color="auto" w:fill="auto"/>
            <w:noWrap/>
            <w:vAlign w:val="bottom"/>
            <w:hideMark/>
          </w:tcPr>
          <w:p w14:paraId="60B3DED6" w14:textId="77777777" w:rsidR="004808B5" w:rsidRPr="004808B5" w:rsidRDefault="004808B5" w:rsidP="004808B5">
            <w:pPr>
              <w:rPr>
                <w:rFonts w:ascii="Calibri" w:hAnsi="Calibri" w:cs="Calibri"/>
                <w:color w:val="000000"/>
              </w:rPr>
            </w:pPr>
            <w:r w:rsidRPr="004808B5">
              <w:rPr>
                <w:rFonts w:ascii="Calibri" w:hAnsi="Calibri" w:cs="Calibri"/>
                <w:color w:val="000000"/>
              </w:rPr>
              <w:t>Harris</w:t>
            </w:r>
          </w:p>
        </w:tc>
      </w:tr>
      <w:tr w:rsidR="004808B5" w:rsidRPr="004808B5" w14:paraId="7067A493"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4389BF8" w14:textId="77777777" w:rsidR="004808B5" w:rsidRPr="004808B5" w:rsidRDefault="004808B5" w:rsidP="004808B5">
            <w:pPr>
              <w:rPr>
                <w:rFonts w:ascii="Calibri" w:hAnsi="Calibri" w:cs="Calibri"/>
                <w:color w:val="000000"/>
              </w:rPr>
            </w:pPr>
            <w:r w:rsidRPr="004808B5">
              <w:rPr>
                <w:rFonts w:ascii="Calibri" w:hAnsi="Calibri" w:cs="Calibri"/>
                <w:color w:val="000000"/>
              </w:rPr>
              <w:t>NRDC</w:t>
            </w:r>
          </w:p>
        </w:tc>
        <w:tc>
          <w:tcPr>
            <w:tcW w:w="1112" w:type="dxa"/>
            <w:tcBorders>
              <w:top w:val="nil"/>
              <w:left w:val="nil"/>
              <w:bottom w:val="single" w:sz="4" w:space="0" w:color="auto"/>
              <w:right w:val="single" w:sz="4" w:space="0" w:color="auto"/>
            </w:tcBorders>
            <w:shd w:val="clear" w:color="auto" w:fill="auto"/>
            <w:noWrap/>
            <w:vAlign w:val="bottom"/>
            <w:hideMark/>
          </w:tcPr>
          <w:p w14:paraId="0AC43DA8" w14:textId="77777777" w:rsidR="004808B5" w:rsidRPr="004808B5" w:rsidRDefault="004808B5" w:rsidP="004808B5">
            <w:pPr>
              <w:rPr>
                <w:rFonts w:ascii="Calibri" w:hAnsi="Calibri" w:cs="Calibri"/>
                <w:color w:val="000000"/>
              </w:rPr>
            </w:pPr>
            <w:r w:rsidRPr="004808B5">
              <w:rPr>
                <w:rFonts w:ascii="Calibri" w:hAnsi="Calibri" w:cs="Calibri"/>
                <w:color w:val="000000"/>
              </w:rPr>
              <w:t>Lara</w:t>
            </w:r>
          </w:p>
        </w:tc>
        <w:tc>
          <w:tcPr>
            <w:tcW w:w="1872" w:type="dxa"/>
            <w:tcBorders>
              <w:top w:val="nil"/>
              <w:left w:val="nil"/>
              <w:bottom w:val="single" w:sz="4" w:space="0" w:color="auto"/>
              <w:right w:val="single" w:sz="4" w:space="0" w:color="auto"/>
            </w:tcBorders>
            <w:shd w:val="clear" w:color="auto" w:fill="auto"/>
            <w:noWrap/>
            <w:vAlign w:val="bottom"/>
            <w:hideMark/>
          </w:tcPr>
          <w:p w14:paraId="257E113A"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Ettenson</w:t>
            </w:r>
            <w:proofErr w:type="spellEnd"/>
          </w:p>
        </w:tc>
      </w:tr>
      <w:tr w:rsidR="004808B5" w:rsidRPr="004808B5" w14:paraId="3B8725B8"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32198AE" w14:textId="77777777" w:rsidR="004808B5" w:rsidRPr="004808B5" w:rsidRDefault="004808B5" w:rsidP="004808B5">
            <w:pPr>
              <w:rPr>
                <w:rFonts w:ascii="Calibri" w:hAnsi="Calibri" w:cs="Calibri"/>
                <w:color w:val="000000"/>
              </w:rPr>
            </w:pPr>
            <w:r w:rsidRPr="004808B5">
              <w:rPr>
                <w:rFonts w:ascii="Calibri" w:hAnsi="Calibri" w:cs="Calibri"/>
                <w:color w:val="000000"/>
              </w:rPr>
              <w:t>PG&amp;E</w:t>
            </w:r>
          </w:p>
        </w:tc>
        <w:tc>
          <w:tcPr>
            <w:tcW w:w="1112" w:type="dxa"/>
            <w:tcBorders>
              <w:top w:val="nil"/>
              <w:left w:val="nil"/>
              <w:bottom w:val="single" w:sz="4" w:space="0" w:color="auto"/>
              <w:right w:val="single" w:sz="4" w:space="0" w:color="auto"/>
            </w:tcBorders>
            <w:shd w:val="clear" w:color="auto" w:fill="auto"/>
            <w:noWrap/>
            <w:vAlign w:val="bottom"/>
            <w:hideMark/>
          </w:tcPr>
          <w:p w14:paraId="4AEB4006" w14:textId="77777777" w:rsidR="004808B5" w:rsidRPr="004808B5" w:rsidRDefault="004808B5" w:rsidP="004808B5">
            <w:pPr>
              <w:rPr>
                <w:rFonts w:ascii="Calibri" w:hAnsi="Calibri" w:cs="Calibri"/>
                <w:color w:val="000000"/>
              </w:rPr>
            </w:pPr>
            <w:r w:rsidRPr="004808B5">
              <w:rPr>
                <w:rFonts w:ascii="Calibri" w:hAnsi="Calibri" w:cs="Calibri"/>
                <w:color w:val="000000"/>
              </w:rPr>
              <w:t>Jonathan</w:t>
            </w:r>
          </w:p>
        </w:tc>
        <w:tc>
          <w:tcPr>
            <w:tcW w:w="1872" w:type="dxa"/>
            <w:tcBorders>
              <w:top w:val="nil"/>
              <w:left w:val="nil"/>
              <w:bottom w:val="single" w:sz="4" w:space="0" w:color="auto"/>
              <w:right w:val="single" w:sz="4" w:space="0" w:color="auto"/>
            </w:tcBorders>
            <w:shd w:val="clear" w:color="auto" w:fill="auto"/>
            <w:noWrap/>
            <w:vAlign w:val="bottom"/>
            <w:hideMark/>
          </w:tcPr>
          <w:p w14:paraId="3E0406D6" w14:textId="77777777" w:rsidR="004808B5" w:rsidRPr="004808B5" w:rsidRDefault="004808B5" w:rsidP="004808B5">
            <w:pPr>
              <w:rPr>
                <w:rFonts w:ascii="Calibri" w:hAnsi="Calibri" w:cs="Calibri"/>
                <w:color w:val="000000"/>
              </w:rPr>
            </w:pPr>
            <w:r w:rsidRPr="004808B5">
              <w:rPr>
                <w:rFonts w:ascii="Calibri" w:hAnsi="Calibri" w:cs="Calibri"/>
                <w:color w:val="000000"/>
              </w:rPr>
              <w:t>Burrows</w:t>
            </w:r>
          </w:p>
        </w:tc>
      </w:tr>
      <w:tr w:rsidR="004808B5" w:rsidRPr="004808B5" w14:paraId="3BD36E1F"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ABEE5DA" w14:textId="77777777" w:rsidR="004808B5" w:rsidRPr="004808B5" w:rsidRDefault="004808B5" w:rsidP="004808B5">
            <w:pPr>
              <w:rPr>
                <w:rFonts w:ascii="Calibri" w:hAnsi="Calibri" w:cs="Calibri"/>
                <w:color w:val="000000"/>
              </w:rPr>
            </w:pPr>
            <w:r w:rsidRPr="004808B5">
              <w:rPr>
                <w:rFonts w:ascii="Calibri" w:hAnsi="Calibri" w:cs="Calibri"/>
                <w:color w:val="000000"/>
              </w:rPr>
              <w:t>Public Advocates Office</w:t>
            </w:r>
          </w:p>
        </w:tc>
        <w:tc>
          <w:tcPr>
            <w:tcW w:w="1112" w:type="dxa"/>
            <w:tcBorders>
              <w:top w:val="nil"/>
              <w:left w:val="nil"/>
              <w:bottom w:val="single" w:sz="4" w:space="0" w:color="auto"/>
              <w:right w:val="single" w:sz="4" w:space="0" w:color="auto"/>
            </w:tcBorders>
            <w:shd w:val="clear" w:color="auto" w:fill="auto"/>
            <w:noWrap/>
            <w:vAlign w:val="bottom"/>
            <w:hideMark/>
          </w:tcPr>
          <w:p w14:paraId="1884A627" w14:textId="77777777" w:rsidR="004808B5" w:rsidRPr="004808B5" w:rsidRDefault="004808B5" w:rsidP="004808B5">
            <w:pPr>
              <w:rPr>
                <w:rFonts w:ascii="Calibri" w:hAnsi="Calibri" w:cs="Calibri"/>
                <w:color w:val="000000"/>
              </w:rPr>
            </w:pPr>
            <w:r w:rsidRPr="004808B5">
              <w:rPr>
                <w:rFonts w:ascii="Calibri" w:hAnsi="Calibri" w:cs="Calibri"/>
                <w:color w:val="000000"/>
              </w:rPr>
              <w:t>Ashlyn</w:t>
            </w:r>
          </w:p>
        </w:tc>
        <w:tc>
          <w:tcPr>
            <w:tcW w:w="1872" w:type="dxa"/>
            <w:tcBorders>
              <w:top w:val="nil"/>
              <w:left w:val="nil"/>
              <w:bottom w:val="single" w:sz="4" w:space="0" w:color="auto"/>
              <w:right w:val="single" w:sz="4" w:space="0" w:color="auto"/>
            </w:tcBorders>
            <w:shd w:val="clear" w:color="auto" w:fill="auto"/>
            <w:noWrap/>
            <w:vAlign w:val="bottom"/>
            <w:hideMark/>
          </w:tcPr>
          <w:p w14:paraId="33E6E45C" w14:textId="77777777" w:rsidR="004808B5" w:rsidRPr="004808B5" w:rsidRDefault="004808B5" w:rsidP="004808B5">
            <w:pPr>
              <w:rPr>
                <w:rFonts w:ascii="Calibri" w:hAnsi="Calibri" w:cs="Calibri"/>
                <w:color w:val="000000"/>
              </w:rPr>
            </w:pPr>
            <w:r w:rsidRPr="004808B5">
              <w:rPr>
                <w:rFonts w:ascii="Calibri" w:hAnsi="Calibri" w:cs="Calibri"/>
                <w:color w:val="000000"/>
              </w:rPr>
              <w:t>Kong</w:t>
            </w:r>
          </w:p>
        </w:tc>
      </w:tr>
      <w:tr w:rsidR="004808B5" w:rsidRPr="004808B5" w14:paraId="362DFE61"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93466CA" w14:textId="77777777" w:rsidR="004808B5" w:rsidRPr="004808B5" w:rsidRDefault="004808B5" w:rsidP="004808B5">
            <w:pPr>
              <w:rPr>
                <w:rFonts w:ascii="Calibri" w:hAnsi="Calibri" w:cs="Calibri"/>
                <w:color w:val="000000"/>
              </w:rPr>
            </w:pPr>
            <w:r w:rsidRPr="004808B5">
              <w:rPr>
                <w:rFonts w:ascii="Calibri" w:hAnsi="Calibri" w:cs="Calibri"/>
                <w:color w:val="000000"/>
              </w:rPr>
              <w:t>Resource Innovations</w:t>
            </w:r>
          </w:p>
        </w:tc>
        <w:tc>
          <w:tcPr>
            <w:tcW w:w="1112" w:type="dxa"/>
            <w:tcBorders>
              <w:top w:val="nil"/>
              <w:left w:val="nil"/>
              <w:bottom w:val="single" w:sz="4" w:space="0" w:color="auto"/>
              <w:right w:val="single" w:sz="4" w:space="0" w:color="auto"/>
            </w:tcBorders>
            <w:shd w:val="clear" w:color="auto" w:fill="auto"/>
            <w:noWrap/>
            <w:vAlign w:val="bottom"/>
            <w:hideMark/>
          </w:tcPr>
          <w:p w14:paraId="2A5830D2" w14:textId="77777777" w:rsidR="004808B5" w:rsidRPr="004808B5" w:rsidRDefault="004808B5" w:rsidP="004808B5">
            <w:pPr>
              <w:rPr>
                <w:rFonts w:ascii="Calibri" w:hAnsi="Calibri" w:cs="Calibri"/>
                <w:color w:val="000000"/>
              </w:rPr>
            </w:pPr>
            <w:r w:rsidRPr="004808B5">
              <w:rPr>
                <w:rFonts w:ascii="Calibri" w:hAnsi="Calibri" w:cs="Calibri"/>
                <w:color w:val="000000"/>
              </w:rPr>
              <w:t>Margie</w:t>
            </w:r>
          </w:p>
        </w:tc>
        <w:tc>
          <w:tcPr>
            <w:tcW w:w="1872" w:type="dxa"/>
            <w:tcBorders>
              <w:top w:val="nil"/>
              <w:left w:val="nil"/>
              <w:bottom w:val="single" w:sz="4" w:space="0" w:color="auto"/>
              <w:right w:val="single" w:sz="4" w:space="0" w:color="auto"/>
            </w:tcBorders>
            <w:shd w:val="clear" w:color="auto" w:fill="auto"/>
            <w:noWrap/>
            <w:vAlign w:val="bottom"/>
            <w:hideMark/>
          </w:tcPr>
          <w:p w14:paraId="1455AF2D" w14:textId="77777777" w:rsidR="004808B5" w:rsidRPr="004808B5" w:rsidRDefault="004808B5" w:rsidP="004808B5">
            <w:pPr>
              <w:rPr>
                <w:rFonts w:ascii="Calibri" w:hAnsi="Calibri" w:cs="Calibri"/>
                <w:color w:val="000000"/>
              </w:rPr>
            </w:pPr>
            <w:r w:rsidRPr="004808B5">
              <w:rPr>
                <w:rFonts w:ascii="Calibri" w:hAnsi="Calibri" w:cs="Calibri"/>
                <w:color w:val="000000"/>
              </w:rPr>
              <w:t>Gardner</w:t>
            </w:r>
          </w:p>
        </w:tc>
      </w:tr>
      <w:tr w:rsidR="004808B5" w:rsidRPr="004808B5" w14:paraId="71AECA3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D84AF73" w14:textId="77777777" w:rsidR="004808B5" w:rsidRPr="004808B5" w:rsidRDefault="004808B5" w:rsidP="004808B5">
            <w:pPr>
              <w:rPr>
                <w:rFonts w:ascii="Calibri" w:hAnsi="Calibri" w:cs="Calibri"/>
                <w:color w:val="000000"/>
              </w:rPr>
            </w:pPr>
            <w:r w:rsidRPr="004808B5">
              <w:rPr>
                <w:rFonts w:ascii="Calibri" w:hAnsi="Calibri" w:cs="Calibri"/>
                <w:color w:val="000000"/>
              </w:rPr>
              <w:t>SCE</w:t>
            </w:r>
          </w:p>
        </w:tc>
        <w:tc>
          <w:tcPr>
            <w:tcW w:w="1112" w:type="dxa"/>
            <w:tcBorders>
              <w:top w:val="nil"/>
              <w:left w:val="nil"/>
              <w:bottom w:val="single" w:sz="4" w:space="0" w:color="auto"/>
              <w:right w:val="single" w:sz="4" w:space="0" w:color="auto"/>
            </w:tcBorders>
            <w:shd w:val="clear" w:color="auto" w:fill="auto"/>
            <w:noWrap/>
            <w:vAlign w:val="bottom"/>
            <w:hideMark/>
          </w:tcPr>
          <w:p w14:paraId="064B8AF3" w14:textId="77777777" w:rsidR="004808B5" w:rsidRPr="004808B5" w:rsidRDefault="004808B5" w:rsidP="004808B5">
            <w:pPr>
              <w:rPr>
                <w:rFonts w:ascii="Calibri" w:hAnsi="Calibri" w:cs="Calibri"/>
                <w:color w:val="000000"/>
              </w:rPr>
            </w:pPr>
            <w:r w:rsidRPr="004808B5">
              <w:rPr>
                <w:rFonts w:ascii="Calibri" w:hAnsi="Calibri" w:cs="Calibri"/>
                <w:color w:val="000000"/>
              </w:rPr>
              <w:t>Brandon</w:t>
            </w:r>
          </w:p>
        </w:tc>
        <w:tc>
          <w:tcPr>
            <w:tcW w:w="1872" w:type="dxa"/>
            <w:tcBorders>
              <w:top w:val="nil"/>
              <w:left w:val="nil"/>
              <w:bottom w:val="single" w:sz="4" w:space="0" w:color="auto"/>
              <w:right w:val="single" w:sz="4" w:space="0" w:color="auto"/>
            </w:tcBorders>
            <w:shd w:val="clear" w:color="auto" w:fill="auto"/>
            <w:noWrap/>
            <w:vAlign w:val="bottom"/>
            <w:hideMark/>
          </w:tcPr>
          <w:p w14:paraId="1B1E3A49" w14:textId="77777777" w:rsidR="004808B5" w:rsidRPr="004808B5" w:rsidRDefault="004808B5" w:rsidP="004808B5">
            <w:pPr>
              <w:rPr>
                <w:rFonts w:ascii="Calibri" w:hAnsi="Calibri" w:cs="Calibri"/>
                <w:color w:val="000000"/>
              </w:rPr>
            </w:pPr>
            <w:r w:rsidRPr="004808B5">
              <w:rPr>
                <w:rFonts w:ascii="Calibri" w:hAnsi="Calibri" w:cs="Calibri"/>
                <w:color w:val="000000"/>
              </w:rPr>
              <w:t>Sanders</w:t>
            </w:r>
          </w:p>
        </w:tc>
      </w:tr>
      <w:tr w:rsidR="004808B5" w:rsidRPr="004808B5" w14:paraId="6033A282"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990E664" w14:textId="77777777" w:rsidR="004808B5" w:rsidRPr="004808B5" w:rsidRDefault="004808B5" w:rsidP="004808B5">
            <w:pPr>
              <w:rPr>
                <w:rFonts w:ascii="Calibri" w:hAnsi="Calibri" w:cs="Calibri"/>
                <w:color w:val="000000"/>
              </w:rPr>
            </w:pPr>
            <w:r w:rsidRPr="004808B5">
              <w:rPr>
                <w:rFonts w:ascii="Calibri" w:hAnsi="Calibri" w:cs="Calibri"/>
                <w:color w:val="000000"/>
              </w:rPr>
              <w:t>SCE</w:t>
            </w:r>
          </w:p>
        </w:tc>
        <w:tc>
          <w:tcPr>
            <w:tcW w:w="1112" w:type="dxa"/>
            <w:tcBorders>
              <w:top w:val="nil"/>
              <w:left w:val="nil"/>
              <w:bottom w:val="single" w:sz="4" w:space="0" w:color="auto"/>
              <w:right w:val="single" w:sz="4" w:space="0" w:color="auto"/>
            </w:tcBorders>
            <w:shd w:val="clear" w:color="auto" w:fill="auto"/>
            <w:noWrap/>
            <w:vAlign w:val="bottom"/>
            <w:hideMark/>
          </w:tcPr>
          <w:p w14:paraId="26E36392" w14:textId="77777777" w:rsidR="004808B5" w:rsidRPr="004808B5" w:rsidRDefault="004808B5" w:rsidP="004808B5">
            <w:pPr>
              <w:rPr>
                <w:rFonts w:ascii="Calibri" w:hAnsi="Calibri" w:cs="Calibri"/>
                <w:color w:val="000000"/>
              </w:rPr>
            </w:pPr>
            <w:r w:rsidRPr="004808B5">
              <w:rPr>
                <w:rFonts w:ascii="Calibri" w:hAnsi="Calibri" w:cs="Calibri"/>
                <w:color w:val="000000"/>
              </w:rPr>
              <w:t>Randall</w:t>
            </w:r>
          </w:p>
        </w:tc>
        <w:tc>
          <w:tcPr>
            <w:tcW w:w="1872" w:type="dxa"/>
            <w:tcBorders>
              <w:top w:val="nil"/>
              <w:left w:val="nil"/>
              <w:bottom w:val="single" w:sz="4" w:space="0" w:color="auto"/>
              <w:right w:val="single" w:sz="4" w:space="0" w:color="auto"/>
            </w:tcBorders>
            <w:shd w:val="clear" w:color="auto" w:fill="auto"/>
            <w:noWrap/>
            <w:vAlign w:val="bottom"/>
            <w:hideMark/>
          </w:tcPr>
          <w:p w14:paraId="7C6F9853"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Higa</w:t>
            </w:r>
            <w:proofErr w:type="spellEnd"/>
          </w:p>
        </w:tc>
      </w:tr>
      <w:tr w:rsidR="004808B5" w:rsidRPr="004808B5" w14:paraId="32680F6A"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7EE46E5" w14:textId="77777777" w:rsidR="004808B5" w:rsidRPr="004808B5" w:rsidRDefault="004808B5" w:rsidP="004808B5">
            <w:pPr>
              <w:rPr>
                <w:rFonts w:ascii="Calibri" w:hAnsi="Calibri" w:cs="Calibri"/>
                <w:color w:val="000000"/>
              </w:rPr>
            </w:pPr>
            <w:r w:rsidRPr="004808B5">
              <w:rPr>
                <w:rFonts w:ascii="Calibri" w:hAnsi="Calibri" w:cs="Calibri"/>
                <w:color w:val="000000"/>
              </w:rPr>
              <w:t>SDG&amp;E</w:t>
            </w:r>
          </w:p>
        </w:tc>
        <w:tc>
          <w:tcPr>
            <w:tcW w:w="1112" w:type="dxa"/>
            <w:tcBorders>
              <w:top w:val="nil"/>
              <w:left w:val="nil"/>
              <w:bottom w:val="single" w:sz="4" w:space="0" w:color="auto"/>
              <w:right w:val="single" w:sz="4" w:space="0" w:color="auto"/>
            </w:tcBorders>
            <w:shd w:val="clear" w:color="auto" w:fill="auto"/>
            <w:noWrap/>
            <w:vAlign w:val="bottom"/>
            <w:hideMark/>
          </w:tcPr>
          <w:p w14:paraId="4B2287B9" w14:textId="77777777" w:rsidR="004808B5" w:rsidRPr="004808B5" w:rsidRDefault="004808B5" w:rsidP="004808B5">
            <w:pPr>
              <w:rPr>
                <w:rFonts w:ascii="Calibri" w:hAnsi="Calibri" w:cs="Calibri"/>
                <w:color w:val="000000"/>
              </w:rPr>
            </w:pPr>
            <w:r w:rsidRPr="004808B5">
              <w:rPr>
                <w:rFonts w:ascii="Calibri" w:hAnsi="Calibri" w:cs="Calibri"/>
                <w:color w:val="000000"/>
              </w:rPr>
              <w:t>Doug</w:t>
            </w:r>
          </w:p>
        </w:tc>
        <w:tc>
          <w:tcPr>
            <w:tcW w:w="1872" w:type="dxa"/>
            <w:tcBorders>
              <w:top w:val="nil"/>
              <w:left w:val="nil"/>
              <w:bottom w:val="single" w:sz="4" w:space="0" w:color="auto"/>
              <w:right w:val="single" w:sz="4" w:space="0" w:color="auto"/>
            </w:tcBorders>
            <w:shd w:val="clear" w:color="auto" w:fill="auto"/>
            <w:noWrap/>
            <w:vAlign w:val="bottom"/>
            <w:hideMark/>
          </w:tcPr>
          <w:p w14:paraId="06BD9775" w14:textId="77777777" w:rsidR="004808B5" w:rsidRPr="004808B5" w:rsidRDefault="004808B5" w:rsidP="004808B5">
            <w:pPr>
              <w:rPr>
                <w:rFonts w:ascii="Calibri" w:hAnsi="Calibri" w:cs="Calibri"/>
                <w:color w:val="000000"/>
              </w:rPr>
            </w:pPr>
            <w:r w:rsidRPr="004808B5">
              <w:rPr>
                <w:rFonts w:ascii="Calibri" w:hAnsi="Calibri" w:cs="Calibri"/>
                <w:color w:val="000000"/>
              </w:rPr>
              <w:t>White</w:t>
            </w:r>
          </w:p>
        </w:tc>
      </w:tr>
      <w:tr w:rsidR="004808B5" w:rsidRPr="004808B5" w14:paraId="6FF91658"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D2419EA" w14:textId="77777777" w:rsidR="004808B5" w:rsidRPr="004808B5" w:rsidRDefault="004808B5" w:rsidP="004808B5">
            <w:pPr>
              <w:rPr>
                <w:rFonts w:ascii="Calibri" w:hAnsi="Calibri" w:cs="Calibri"/>
                <w:color w:val="000000"/>
              </w:rPr>
            </w:pPr>
            <w:r w:rsidRPr="004808B5">
              <w:rPr>
                <w:rFonts w:ascii="Calibri" w:hAnsi="Calibri" w:cs="Calibri"/>
                <w:color w:val="000000"/>
              </w:rPr>
              <w:t>SBUA</w:t>
            </w:r>
          </w:p>
        </w:tc>
        <w:tc>
          <w:tcPr>
            <w:tcW w:w="1112" w:type="dxa"/>
            <w:tcBorders>
              <w:top w:val="nil"/>
              <w:left w:val="nil"/>
              <w:bottom w:val="single" w:sz="4" w:space="0" w:color="auto"/>
              <w:right w:val="single" w:sz="4" w:space="0" w:color="auto"/>
            </w:tcBorders>
            <w:shd w:val="clear" w:color="auto" w:fill="auto"/>
            <w:noWrap/>
            <w:vAlign w:val="bottom"/>
            <w:hideMark/>
          </w:tcPr>
          <w:p w14:paraId="4D031FFE" w14:textId="77777777" w:rsidR="004808B5" w:rsidRPr="004808B5" w:rsidRDefault="004808B5" w:rsidP="004808B5">
            <w:pPr>
              <w:rPr>
                <w:rFonts w:ascii="Calibri" w:hAnsi="Calibri" w:cs="Calibri"/>
                <w:color w:val="000000"/>
              </w:rPr>
            </w:pPr>
            <w:r w:rsidRPr="004808B5">
              <w:rPr>
                <w:rFonts w:ascii="Calibri" w:hAnsi="Calibri" w:cs="Calibri"/>
                <w:color w:val="000000"/>
              </w:rPr>
              <w:t>Ivan</w:t>
            </w:r>
          </w:p>
        </w:tc>
        <w:tc>
          <w:tcPr>
            <w:tcW w:w="1872" w:type="dxa"/>
            <w:tcBorders>
              <w:top w:val="nil"/>
              <w:left w:val="nil"/>
              <w:bottom w:val="single" w:sz="4" w:space="0" w:color="auto"/>
              <w:right w:val="single" w:sz="4" w:space="0" w:color="auto"/>
            </w:tcBorders>
            <w:shd w:val="clear" w:color="auto" w:fill="auto"/>
            <w:noWrap/>
            <w:vAlign w:val="bottom"/>
            <w:hideMark/>
          </w:tcPr>
          <w:p w14:paraId="0BEF2207" w14:textId="77777777" w:rsidR="004808B5" w:rsidRPr="004808B5" w:rsidRDefault="004808B5" w:rsidP="004808B5">
            <w:pPr>
              <w:rPr>
                <w:rFonts w:ascii="Calibri" w:hAnsi="Calibri" w:cs="Calibri"/>
                <w:color w:val="000000"/>
              </w:rPr>
            </w:pPr>
            <w:r w:rsidRPr="004808B5">
              <w:rPr>
                <w:rFonts w:ascii="Calibri" w:hAnsi="Calibri" w:cs="Calibri"/>
                <w:color w:val="000000"/>
              </w:rPr>
              <w:t>Jimenez</w:t>
            </w:r>
          </w:p>
        </w:tc>
      </w:tr>
      <w:tr w:rsidR="004808B5" w:rsidRPr="004808B5" w14:paraId="28C7C097"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1DB29D3" w14:textId="77777777" w:rsidR="004808B5" w:rsidRPr="004808B5" w:rsidRDefault="004808B5" w:rsidP="004808B5">
            <w:pPr>
              <w:rPr>
                <w:rFonts w:ascii="Calibri" w:hAnsi="Calibri" w:cs="Calibri"/>
                <w:color w:val="000000"/>
              </w:rPr>
            </w:pPr>
            <w:r w:rsidRPr="004808B5">
              <w:rPr>
                <w:rFonts w:ascii="Calibri" w:hAnsi="Calibri" w:cs="Calibri"/>
                <w:color w:val="000000"/>
              </w:rPr>
              <w:t>SoCalGas</w:t>
            </w:r>
          </w:p>
        </w:tc>
        <w:tc>
          <w:tcPr>
            <w:tcW w:w="1112" w:type="dxa"/>
            <w:tcBorders>
              <w:top w:val="nil"/>
              <w:left w:val="nil"/>
              <w:bottom w:val="single" w:sz="4" w:space="0" w:color="auto"/>
              <w:right w:val="single" w:sz="4" w:space="0" w:color="auto"/>
            </w:tcBorders>
            <w:shd w:val="clear" w:color="auto" w:fill="auto"/>
            <w:noWrap/>
            <w:vAlign w:val="bottom"/>
            <w:hideMark/>
          </w:tcPr>
          <w:p w14:paraId="0FE0673C" w14:textId="77777777" w:rsidR="004808B5" w:rsidRPr="004808B5" w:rsidRDefault="004808B5" w:rsidP="004808B5">
            <w:pPr>
              <w:rPr>
                <w:rFonts w:ascii="Calibri" w:hAnsi="Calibri" w:cs="Calibri"/>
                <w:color w:val="000000"/>
              </w:rPr>
            </w:pPr>
            <w:r w:rsidRPr="004808B5">
              <w:rPr>
                <w:rFonts w:ascii="Calibri" w:hAnsi="Calibri" w:cs="Calibri"/>
                <w:color w:val="000000"/>
              </w:rPr>
              <w:t>Benjamin</w:t>
            </w:r>
          </w:p>
        </w:tc>
        <w:tc>
          <w:tcPr>
            <w:tcW w:w="1872" w:type="dxa"/>
            <w:tcBorders>
              <w:top w:val="nil"/>
              <w:left w:val="nil"/>
              <w:bottom w:val="single" w:sz="4" w:space="0" w:color="auto"/>
              <w:right w:val="single" w:sz="4" w:space="0" w:color="auto"/>
            </w:tcBorders>
            <w:shd w:val="clear" w:color="auto" w:fill="auto"/>
            <w:noWrap/>
            <w:vAlign w:val="bottom"/>
            <w:hideMark/>
          </w:tcPr>
          <w:p w14:paraId="2EE52BA2"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Piiru</w:t>
            </w:r>
            <w:proofErr w:type="spellEnd"/>
          </w:p>
        </w:tc>
      </w:tr>
      <w:tr w:rsidR="004808B5" w:rsidRPr="004808B5" w14:paraId="7FB21DA0"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234396D" w14:textId="77777777" w:rsidR="004808B5" w:rsidRPr="004808B5" w:rsidRDefault="004808B5" w:rsidP="004808B5">
            <w:pPr>
              <w:rPr>
                <w:rFonts w:ascii="Calibri" w:hAnsi="Calibri" w:cs="Calibri"/>
                <w:color w:val="000000"/>
              </w:rPr>
            </w:pPr>
            <w:r w:rsidRPr="004808B5">
              <w:rPr>
                <w:rFonts w:ascii="Calibri" w:hAnsi="Calibri" w:cs="Calibri"/>
                <w:color w:val="000000"/>
              </w:rPr>
              <w:t>SoCalGas</w:t>
            </w:r>
          </w:p>
        </w:tc>
        <w:tc>
          <w:tcPr>
            <w:tcW w:w="1112" w:type="dxa"/>
            <w:tcBorders>
              <w:top w:val="nil"/>
              <w:left w:val="nil"/>
              <w:bottom w:val="single" w:sz="4" w:space="0" w:color="auto"/>
              <w:right w:val="single" w:sz="4" w:space="0" w:color="auto"/>
            </w:tcBorders>
            <w:shd w:val="clear" w:color="auto" w:fill="auto"/>
            <w:noWrap/>
            <w:vAlign w:val="bottom"/>
            <w:hideMark/>
          </w:tcPr>
          <w:p w14:paraId="788BB288" w14:textId="77777777" w:rsidR="004808B5" w:rsidRPr="004808B5" w:rsidRDefault="004808B5" w:rsidP="004808B5">
            <w:pPr>
              <w:rPr>
                <w:rFonts w:ascii="Calibri" w:hAnsi="Calibri" w:cs="Calibri"/>
                <w:color w:val="000000"/>
              </w:rPr>
            </w:pPr>
            <w:r w:rsidRPr="004808B5">
              <w:rPr>
                <w:rFonts w:ascii="Calibri" w:hAnsi="Calibri" w:cs="Calibri"/>
                <w:color w:val="000000"/>
              </w:rPr>
              <w:t>Erin</w:t>
            </w:r>
          </w:p>
        </w:tc>
        <w:tc>
          <w:tcPr>
            <w:tcW w:w="1872" w:type="dxa"/>
            <w:tcBorders>
              <w:top w:val="nil"/>
              <w:left w:val="nil"/>
              <w:bottom w:val="single" w:sz="4" w:space="0" w:color="auto"/>
              <w:right w:val="single" w:sz="4" w:space="0" w:color="auto"/>
            </w:tcBorders>
            <w:shd w:val="clear" w:color="auto" w:fill="auto"/>
            <w:noWrap/>
            <w:vAlign w:val="bottom"/>
            <w:hideMark/>
          </w:tcPr>
          <w:p w14:paraId="224D047E" w14:textId="77777777" w:rsidR="004808B5" w:rsidRPr="004808B5" w:rsidRDefault="004808B5" w:rsidP="004808B5">
            <w:pPr>
              <w:rPr>
                <w:rFonts w:ascii="Calibri" w:hAnsi="Calibri" w:cs="Calibri"/>
                <w:color w:val="000000"/>
              </w:rPr>
            </w:pPr>
            <w:r w:rsidRPr="004808B5">
              <w:rPr>
                <w:rFonts w:ascii="Calibri" w:hAnsi="Calibri" w:cs="Calibri"/>
                <w:color w:val="000000"/>
              </w:rPr>
              <w:t>Brooks</w:t>
            </w:r>
          </w:p>
        </w:tc>
      </w:tr>
      <w:tr w:rsidR="004808B5" w:rsidRPr="004808B5" w14:paraId="31DB23F8"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6F278ABE"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SoCalREN</w:t>
            </w:r>
            <w:proofErr w:type="spellEnd"/>
          </w:p>
        </w:tc>
        <w:tc>
          <w:tcPr>
            <w:tcW w:w="1112" w:type="dxa"/>
            <w:tcBorders>
              <w:top w:val="nil"/>
              <w:left w:val="nil"/>
              <w:bottom w:val="single" w:sz="4" w:space="0" w:color="auto"/>
              <w:right w:val="single" w:sz="4" w:space="0" w:color="auto"/>
            </w:tcBorders>
            <w:shd w:val="clear" w:color="auto" w:fill="auto"/>
            <w:noWrap/>
            <w:vAlign w:val="bottom"/>
            <w:hideMark/>
          </w:tcPr>
          <w:p w14:paraId="5B029288" w14:textId="77777777" w:rsidR="004808B5" w:rsidRPr="004808B5" w:rsidRDefault="004808B5" w:rsidP="004808B5">
            <w:pPr>
              <w:rPr>
                <w:rFonts w:ascii="Calibri" w:hAnsi="Calibri" w:cs="Calibri"/>
                <w:color w:val="000000"/>
              </w:rPr>
            </w:pPr>
            <w:r w:rsidRPr="004808B5">
              <w:rPr>
                <w:rFonts w:ascii="Calibri" w:hAnsi="Calibri" w:cs="Calibri"/>
                <w:color w:val="000000"/>
              </w:rPr>
              <w:t>Julie</w:t>
            </w:r>
          </w:p>
        </w:tc>
        <w:tc>
          <w:tcPr>
            <w:tcW w:w="1872" w:type="dxa"/>
            <w:tcBorders>
              <w:top w:val="nil"/>
              <w:left w:val="nil"/>
              <w:bottom w:val="single" w:sz="4" w:space="0" w:color="auto"/>
              <w:right w:val="single" w:sz="4" w:space="0" w:color="auto"/>
            </w:tcBorders>
            <w:shd w:val="clear" w:color="auto" w:fill="auto"/>
            <w:noWrap/>
            <w:vAlign w:val="bottom"/>
            <w:hideMark/>
          </w:tcPr>
          <w:p w14:paraId="0CBC60D3" w14:textId="77777777" w:rsidR="004808B5" w:rsidRPr="004808B5" w:rsidRDefault="004808B5" w:rsidP="004808B5">
            <w:pPr>
              <w:rPr>
                <w:rFonts w:ascii="Calibri" w:hAnsi="Calibri" w:cs="Calibri"/>
                <w:color w:val="000000"/>
              </w:rPr>
            </w:pPr>
            <w:r w:rsidRPr="004808B5">
              <w:rPr>
                <w:rFonts w:ascii="Calibri" w:hAnsi="Calibri" w:cs="Calibri"/>
                <w:color w:val="000000"/>
              </w:rPr>
              <w:t>Tan</w:t>
            </w:r>
          </w:p>
        </w:tc>
      </w:tr>
      <w:tr w:rsidR="004808B5" w:rsidRPr="004808B5" w14:paraId="0D5481FA"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EFFA61A" w14:textId="77777777" w:rsidR="004808B5" w:rsidRPr="004808B5" w:rsidRDefault="004808B5" w:rsidP="004808B5">
            <w:pPr>
              <w:rPr>
                <w:rFonts w:ascii="Calibri" w:hAnsi="Calibri" w:cs="Calibri"/>
                <w:color w:val="000000"/>
              </w:rPr>
            </w:pPr>
            <w:r w:rsidRPr="004808B5">
              <w:rPr>
                <w:rFonts w:ascii="Calibri" w:hAnsi="Calibri" w:cs="Calibri"/>
                <w:color w:val="000000"/>
              </w:rPr>
              <w:t>The Energy Coalition</w:t>
            </w:r>
          </w:p>
        </w:tc>
        <w:tc>
          <w:tcPr>
            <w:tcW w:w="1112" w:type="dxa"/>
            <w:tcBorders>
              <w:top w:val="nil"/>
              <w:left w:val="nil"/>
              <w:bottom w:val="single" w:sz="4" w:space="0" w:color="auto"/>
              <w:right w:val="single" w:sz="4" w:space="0" w:color="auto"/>
            </w:tcBorders>
            <w:shd w:val="clear" w:color="auto" w:fill="auto"/>
            <w:noWrap/>
            <w:vAlign w:val="bottom"/>
            <w:hideMark/>
          </w:tcPr>
          <w:p w14:paraId="70941872" w14:textId="77777777" w:rsidR="004808B5" w:rsidRPr="004808B5" w:rsidRDefault="004808B5" w:rsidP="004808B5">
            <w:pPr>
              <w:rPr>
                <w:rFonts w:ascii="Calibri" w:hAnsi="Calibri" w:cs="Calibri"/>
                <w:color w:val="000000"/>
              </w:rPr>
            </w:pPr>
            <w:r w:rsidRPr="004808B5">
              <w:rPr>
                <w:rFonts w:ascii="Calibri" w:hAnsi="Calibri" w:cs="Calibri"/>
                <w:color w:val="000000"/>
              </w:rPr>
              <w:t>Marc</w:t>
            </w:r>
          </w:p>
        </w:tc>
        <w:tc>
          <w:tcPr>
            <w:tcW w:w="1872" w:type="dxa"/>
            <w:tcBorders>
              <w:top w:val="nil"/>
              <w:left w:val="nil"/>
              <w:bottom w:val="single" w:sz="4" w:space="0" w:color="auto"/>
              <w:right w:val="single" w:sz="4" w:space="0" w:color="auto"/>
            </w:tcBorders>
            <w:shd w:val="clear" w:color="auto" w:fill="auto"/>
            <w:noWrap/>
            <w:vAlign w:val="bottom"/>
            <w:hideMark/>
          </w:tcPr>
          <w:p w14:paraId="7C7AC7EB" w14:textId="77777777" w:rsidR="004808B5" w:rsidRPr="004808B5" w:rsidRDefault="004808B5" w:rsidP="004808B5">
            <w:pPr>
              <w:rPr>
                <w:rFonts w:ascii="Calibri" w:hAnsi="Calibri" w:cs="Calibri"/>
                <w:color w:val="000000"/>
              </w:rPr>
            </w:pPr>
            <w:r w:rsidRPr="004808B5">
              <w:rPr>
                <w:rFonts w:ascii="Calibri" w:hAnsi="Calibri" w:cs="Calibri"/>
                <w:color w:val="000000"/>
              </w:rPr>
              <w:t>Costa</w:t>
            </w:r>
          </w:p>
        </w:tc>
      </w:tr>
      <w:tr w:rsidR="004808B5" w:rsidRPr="004808B5" w14:paraId="350762B4"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E0B142E" w14:textId="77777777" w:rsidR="004808B5" w:rsidRPr="004808B5" w:rsidRDefault="004808B5" w:rsidP="004808B5">
            <w:pPr>
              <w:rPr>
                <w:rFonts w:ascii="Calibri" w:hAnsi="Calibri" w:cs="Calibri"/>
                <w:color w:val="000000"/>
              </w:rPr>
            </w:pPr>
            <w:r w:rsidRPr="004808B5">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0A122A0A" w14:textId="77777777" w:rsidR="004808B5" w:rsidRPr="004808B5" w:rsidRDefault="004808B5" w:rsidP="004808B5">
            <w:pPr>
              <w:rPr>
                <w:rFonts w:ascii="Calibri" w:hAnsi="Calibri" w:cs="Calibri"/>
                <w:color w:val="000000"/>
              </w:rPr>
            </w:pPr>
            <w:r w:rsidRPr="004808B5">
              <w:rPr>
                <w:rFonts w:ascii="Calibri" w:hAnsi="Calibri" w:cs="Calibri"/>
                <w:color w:val="000000"/>
              </w:rPr>
              <w:t> </w:t>
            </w:r>
          </w:p>
        </w:tc>
        <w:tc>
          <w:tcPr>
            <w:tcW w:w="1872" w:type="dxa"/>
            <w:tcBorders>
              <w:top w:val="nil"/>
              <w:left w:val="nil"/>
              <w:bottom w:val="single" w:sz="4" w:space="0" w:color="auto"/>
              <w:right w:val="single" w:sz="4" w:space="0" w:color="auto"/>
            </w:tcBorders>
            <w:shd w:val="clear" w:color="auto" w:fill="auto"/>
            <w:noWrap/>
            <w:vAlign w:val="bottom"/>
            <w:hideMark/>
          </w:tcPr>
          <w:p w14:paraId="75E388E3" w14:textId="77777777" w:rsidR="004808B5" w:rsidRPr="004808B5" w:rsidRDefault="004808B5" w:rsidP="004808B5">
            <w:pPr>
              <w:rPr>
                <w:rFonts w:ascii="Calibri" w:hAnsi="Calibri" w:cs="Calibri"/>
                <w:color w:val="000000"/>
              </w:rPr>
            </w:pPr>
            <w:r w:rsidRPr="004808B5">
              <w:rPr>
                <w:rFonts w:ascii="Calibri" w:hAnsi="Calibri" w:cs="Calibri"/>
                <w:color w:val="000000"/>
              </w:rPr>
              <w:t> </w:t>
            </w:r>
          </w:p>
        </w:tc>
      </w:tr>
      <w:tr w:rsidR="004808B5" w:rsidRPr="004808B5" w14:paraId="13E8DA6C" w14:textId="77777777" w:rsidTr="004808B5">
        <w:trPr>
          <w:trHeight w:val="32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5F24"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 xml:space="preserve">Other Participants/Stakeholders Attending </w:t>
            </w:r>
          </w:p>
        </w:tc>
      </w:tr>
      <w:tr w:rsidR="004808B5" w:rsidRPr="004808B5" w14:paraId="404BE6B2" w14:textId="77777777" w:rsidTr="004808B5">
        <w:trPr>
          <w:trHeight w:val="320"/>
        </w:trPr>
        <w:tc>
          <w:tcPr>
            <w:tcW w:w="4076" w:type="dxa"/>
            <w:tcBorders>
              <w:top w:val="nil"/>
              <w:left w:val="single" w:sz="4" w:space="0" w:color="auto"/>
              <w:bottom w:val="single" w:sz="4" w:space="0" w:color="auto"/>
              <w:right w:val="single" w:sz="4" w:space="0" w:color="auto"/>
            </w:tcBorders>
            <w:shd w:val="clear" w:color="000000" w:fill="D9D9D9"/>
            <w:noWrap/>
            <w:vAlign w:val="center"/>
            <w:hideMark/>
          </w:tcPr>
          <w:p w14:paraId="67101BE7"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Organization</w:t>
            </w:r>
          </w:p>
        </w:tc>
        <w:tc>
          <w:tcPr>
            <w:tcW w:w="1112" w:type="dxa"/>
            <w:tcBorders>
              <w:top w:val="nil"/>
              <w:left w:val="nil"/>
              <w:bottom w:val="single" w:sz="4" w:space="0" w:color="auto"/>
              <w:right w:val="single" w:sz="4" w:space="0" w:color="auto"/>
            </w:tcBorders>
            <w:shd w:val="clear" w:color="000000" w:fill="D9D9D9"/>
            <w:noWrap/>
            <w:vAlign w:val="center"/>
            <w:hideMark/>
          </w:tcPr>
          <w:p w14:paraId="700B4F5F"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First</w:t>
            </w:r>
          </w:p>
        </w:tc>
        <w:tc>
          <w:tcPr>
            <w:tcW w:w="1872" w:type="dxa"/>
            <w:tcBorders>
              <w:top w:val="nil"/>
              <w:left w:val="nil"/>
              <w:bottom w:val="single" w:sz="4" w:space="0" w:color="auto"/>
              <w:right w:val="single" w:sz="4" w:space="0" w:color="auto"/>
            </w:tcBorders>
            <w:shd w:val="clear" w:color="000000" w:fill="D9D9D9"/>
            <w:noWrap/>
            <w:vAlign w:val="center"/>
            <w:hideMark/>
          </w:tcPr>
          <w:p w14:paraId="7CF0E346" w14:textId="77777777" w:rsidR="004808B5" w:rsidRPr="004808B5" w:rsidRDefault="004808B5" w:rsidP="004808B5">
            <w:pPr>
              <w:rPr>
                <w:rFonts w:ascii="Calibri" w:hAnsi="Calibri" w:cs="Calibri"/>
                <w:b/>
                <w:bCs/>
                <w:color w:val="000000"/>
                <w:sz w:val="22"/>
                <w:szCs w:val="22"/>
              </w:rPr>
            </w:pPr>
            <w:r w:rsidRPr="004808B5">
              <w:rPr>
                <w:rFonts w:ascii="Calibri" w:hAnsi="Calibri" w:cs="Calibri"/>
                <w:b/>
                <w:bCs/>
                <w:color w:val="000000"/>
                <w:sz w:val="22"/>
                <w:szCs w:val="22"/>
              </w:rPr>
              <w:t>Last</w:t>
            </w:r>
          </w:p>
        </w:tc>
      </w:tr>
      <w:tr w:rsidR="004808B5" w:rsidRPr="004808B5" w14:paraId="75740A9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ADE14A7" w14:textId="77777777" w:rsidR="004808B5" w:rsidRPr="004808B5" w:rsidRDefault="004808B5" w:rsidP="004808B5">
            <w:pPr>
              <w:rPr>
                <w:rFonts w:ascii="Calibri" w:hAnsi="Calibri" w:cs="Calibri"/>
                <w:color w:val="000000"/>
              </w:rPr>
            </w:pPr>
            <w:r w:rsidRPr="004808B5">
              <w:rPr>
                <w:rFonts w:ascii="Calibri" w:hAnsi="Calibri" w:cs="Calibri"/>
                <w:color w:val="000000"/>
              </w:rPr>
              <w:t>2050 Partners</w:t>
            </w:r>
          </w:p>
        </w:tc>
        <w:tc>
          <w:tcPr>
            <w:tcW w:w="1112" w:type="dxa"/>
            <w:tcBorders>
              <w:top w:val="nil"/>
              <w:left w:val="nil"/>
              <w:bottom w:val="single" w:sz="4" w:space="0" w:color="auto"/>
              <w:right w:val="single" w:sz="4" w:space="0" w:color="auto"/>
            </w:tcBorders>
            <w:shd w:val="clear" w:color="auto" w:fill="auto"/>
            <w:noWrap/>
            <w:vAlign w:val="bottom"/>
            <w:hideMark/>
          </w:tcPr>
          <w:p w14:paraId="74CB2A46" w14:textId="77777777" w:rsidR="004808B5" w:rsidRPr="004808B5" w:rsidRDefault="004808B5" w:rsidP="004808B5">
            <w:pPr>
              <w:rPr>
                <w:rFonts w:ascii="Calibri" w:hAnsi="Calibri" w:cs="Calibri"/>
                <w:color w:val="000000"/>
              </w:rPr>
            </w:pPr>
            <w:r w:rsidRPr="004808B5">
              <w:rPr>
                <w:rFonts w:ascii="Calibri" w:hAnsi="Calibri" w:cs="Calibri"/>
                <w:color w:val="000000"/>
              </w:rPr>
              <w:t>Alex</w:t>
            </w:r>
          </w:p>
        </w:tc>
        <w:tc>
          <w:tcPr>
            <w:tcW w:w="1872" w:type="dxa"/>
            <w:tcBorders>
              <w:top w:val="nil"/>
              <w:left w:val="nil"/>
              <w:bottom w:val="single" w:sz="4" w:space="0" w:color="auto"/>
              <w:right w:val="single" w:sz="4" w:space="0" w:color="auto"/>
            </w:tcBorders>
            <w:shd w:val="clear" w:color="auto" w:fill="auto"/>
            <w:noWrap/>
            <w:vAlign w:val="bottom"/>
            <w:hideMark/>
          </w:tcPr>
          <w:p w14:paraId="3121B6F1" w14:textId="77777777" w:rsidR="004808B5" w:rsidRPr="004808B5" w:rsidRDefault="004808B5" w:rsidP="004808B5">
            <w:pPr>
              <w:rPr>
                <w:rFonts w:ascii="Calibri" w:hAnsi="Calibri" w:cs="Calibri"/>
                <w:color w:val="000000"/>
              </w:rPr>
            </w:pPr>
            <w:r w:rsidRPr="004808B5">
              <w:rPr>
                <w:rFonts w:ascii="Calibri" w:hAnsi="Calibri" w:cs="Calibri"/>
                <w:color w:val="000000"/>
              </w:rPr>
              <w:t>Chase</w:t>
            </w:r>
          </w:p>
        </w:tc>
      </w:tr>
      <w:tr w:rsidR="004808B5" w:rsidRPr="004808B5" w14:paraId="194B8FDC"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FC7819F" w14:textId="77777777" w:rsidR="004808B5" w:rsidRPr="004808B5" w:rsidRDefault="004808B5" w:rsidP="004808B5">
            <w:pPr>
              <w:rPr>
                <w:rFonts w:ascii="Calibri" w:hAnsi="Calibri" w:cs="Calibri"/>
                <w:color w:val="000000"/>
              </w:rPr>
            </w:pPr>
            <w:r w:rsidRPr="004808B5">
              <w:rPr>
                <w:rFonts w:ascii="Calibri" w:hAnsi="Calibri" w:cs="Calibri"/>
                <w:color w:val="000000"/>
              </w:rPr>
              <w:lastRenderedPageBreak/>
              <w:t>2050 Partners, Inc.</w:t>
            </w:r>
          </w:p>
        </w:tc>
        <w:tc>
          <w:tcPr>
            <w:tcW w:w="1112" w:type="dxa"/>
            <w:tcBorders>
              <w:top w:val="nil"/>
              <w:left w:val="nil"/>
              <w:bottom w:val="single" w:sz="4" w:space="0" w:color="auto"/>
              <w:right w:val="single" w:sz="4" w:space="0" w:color="auto"/>
            </w:tcBorders>
            <w:shd w:val="clear" w:color="auto" w:fill="auto"/>
            <w:noWrap/>
            <w:vAlign w:val="bottom"/>
            <w:hideMark/>
          </w:tcPr>
          <w:p w14:paraId="23C49C49" w14:textId="77777777" w:rsidR="004808B5" w:rsidRPr="004808B5" w:rsidRDefault="004808B5" w:rsidP="004808B5">
            <w:pPr>
              <w:rPr>
                <w:rFonts w:ascii="Calibri" w:hAnsi="Calibri" w:cs="Calibri"/>
                <w:color w:val="000000"/>
              </w:rPr>
            </w:pPr>
            <w:r w:rsidRPr="004808B5">
              <w:rPr>
                <w:rFonts w:ascii="Calibri" w:hAnsi="Calibri" w:cs="Calibri"/>
                <w:color w:val="000000"/>
              </w:rPr>
              <w:t>Ted</w:t>
            </w:r>
          </w:p>
        </w:tc>
        <w:tc>
          <w:tcPr>
            <w:tcW w:w="1872" w:type="dxa"/>
            <w:tcBorders>
              <w:top w:val="nil"/>
              <w:left w:val="nil"/>
              <w:bottom w:val="single" w:sz="4" w:space="0" w:color="auto"/>
              <w:right w:val="single" w:sz="4" w:space="0" w:color="auto"/>
            </w:tcBorders>
            <w:shd w:val="clear" w:color="auto" w:fill="auto"/>
            <w:noWrap/>
            <w:vAlign w:val="bottom"/>
            <w:hideMark/>
          </w:tcPr>
          <w:p w14:paraId="48AC692C" w14:textId="77777777" w:rsidR="004808B5" w:rsidRPr="004808B5" w:rsidRDefault="004808B5" w:rsidP="004808B5">
            <w:pPr>
              <w:rPr>
                <w:rFonts w:ascii="Calibri" w:hAnsi="Calibri" w:cs="Calibri"/>
                <w:color w:val="000000"/>
              </w:rPr>
            </w:pPr>
            <w:r w:rsidRPr="004808B5">
              <w:rPr>
                <w:rFonts w:ascii="Calibri" w:hAnsi="Calibri" w:cs="Calibri"/>
                <w:color w:val="000000"/>
              </w:rPr>
              <w:t>Pope</w:t>
            </w:r>
          </w:p>
        </w:tc>
      </w:tr>
      <w:tr w:rsidR="004808B5" w:rsidRPr="004808B5" w14:paraId="542B2FA5"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2DA9A5B" w14:textId="77777777" w:rsidR="004808B5" w:rsidRPr="004808B5" w:rsidRDefault="004808B5" w:rsidP="004808B5">
            <w:pPr>
              <w:rPr>
                <w:rFonts w:ascii="Calibri" w:hAnsi="Calibri" w:cs="Calibri"/>
                <w:color w:val="000000"/>
              </w:rPr>
            </w:pPr>
            <w:r w:rsidRPr="004808B5">
              <w:rPr>
                <w:rFonts w:ascii="Calibri" w:hAnsi="Calibri" w:cs="Calibri"/>
                <w:color w:val="000000"/>
              </w:rPr>
              <w:t>American Electric Supply</w:t>
            </w:r>
          </w:p>
        </w:tc>
        <w:tc>
          <w:tcPr>
            <w:tcW w:w="1112" w:type="dxa"/>
            <w:tcBorders>
              <w:top w:val="nil"/>
              <w:left w:val="nil"/>
              <w:bottom w:val="single" w:sz="4" w:space="0" w:color="auto"/>
              <w:right w:val="single" w:sz="4" w:space="0" w:color="auto"/>
            </w:tcBorders>
            <w:shd w:val="clear" w:color="auto" w:fill="auto"/>
            <w:noWrap/>
            <w:vAlign w:val="bottom"/>
            <w:hideMark/>
          </w:tcPr>
          <w:p w14:paraId="176047B7" w14:textId="77777777" w:rsidR="004808B5" w:rsidRPr="004808B5" w:rsidRDefault="004808B5" w:rsidP="004808B5">
            <w:pPr>
              <w:rPr>
                <w:rFonts w:ascii="Calibri" w:hAnsi="Calibri" w:cs="Calibri"/>
                <w:color w:val="000000"/>
              </w:rPr>
            </w:pPr>
            <w:r w:rsidRPr="004808B5">
              <w:rPr>
                <w:rFonts w:ascii="Calibri" w:hAnsi="Calibri" w:cs="Calibri"/>
                <w:color w:val="000000"/>
              </w:rPr>
              <w:t>Kathy</w:t>
            </w:r>
          </w:p>
        </w:tc>
        <w:tc>
          <w:tcPr>
            <w:tcW w:w="1872" w:type="dxa"/>
            <w:tcBorders>
              <w:top w:val="nil"/>
              <w:left w:val="nil"/>
              <w:bottom w:val="single" w:sz="4" w:space="0" w:color="auto"/>
              <w:right w:val="single" w:sz="4" w:space="0" w:color="auto"/>
            </w:tcBorders>
            <w:shd w:val="clear" w:color="auto" w:fill="auto"/>
            <w:noWrap/>
            <w:vAlign w:val="bottom"/>
            <w:hideMark/>
          </w:tcPr>
          <w:p w14:paraId="63ABE2DD"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Mastrianni</w:t>
            </w:r>
            <w:proofErr w:type="spellEnd"/>
          </w:p>
        </w:tc>
      </w:tr>
      <w:tr w:rsidR="004808B5" w:rsidRPr="004808B5" w14:paraId="33547235"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7CFB458" w14:textId="77777777" w:rsidR="004808B5" w:rsidRPr="004808B5" w:rsidRDefault="004808B5" w:rsidP="004808B5">
            <w:pPr>
              <w:rPr>
                <w:rFonts w:ascii="Calibri" w:hAnsi="Calibri" w:cs="Calibri"/>
                <w:color w:val="000000"/>
              </w:rPr>
            </w:pPr>
            <w:r w:rsidRPr="004808B5">
              <w:rPr>
                <w:rFonts w:ascii="Calibri" w:hAnsi="Calibri" w:cs="Calibri"/>
                <w:color w:val="000000"/>
              </w:rPr>
              <w:t>Cadmus</w:t>
            </w:r>
          </w:p>
        </w:tc>
        <w:tc>
          <w:tcPr>
            <w:tcW w:w="1112" w:type="dxa"/>
            <w:tcBorders>
              <w:top w:val="nil"/>
              <w:left w:val="nil"/>
              <w:bottom w:val="single" w:sz="4" w:space="0" w:color="auto"/>
              <w:right w:val="single" w:sz="4" w:space="0" w:color="auto"/>
            </w:tcBorders>
            <w:shd w:val="clear" w:color="auto" w:fill="auto"/>
            <w:noWrap/>
            <w:vAlign w:val="bottom"/>
            <w:hideMark/>
          </w:tcPr>
          <w:p w14:paraId="164660EC" w14:textId="77777777" w:rsidR="004808B5" w:rsidRPr="004808B5" w:rsidRDefault="004808B5" w:rsidP="004808B5">
            <w:pPr>
              <w:rPr>
                <w:rFonts w:ascii="Calibri" w:hAnsi="Calibri" w:cs="Calibri"/>
                <w:color w:val="000000"/>
              </w:rPr>
            </w:pPr>
            <w:r w:rsidRPr="004808B5">
              <w:rPr>
                <w:rFonts w:ascii="Calibri" w:hAnsi="Calibri" w:cs="Calibri"/>
                <w:color w:val="000000"/>
              </w:rPr>
              <w:t>Karen</w:t>
            </w:r>
          </w:p>
        </w:tc>
        <w:tc>
          <w:tcPr>
            <w:tcW w:w="1872" w:type="dxa"/>
            <w:tcBorders>
              <w:top w:val="nil"/>
              <w:left w:val="nil"/>
              <w:bottom w:val="single" w:sz="4" w:space="0" w:color="auto"/>
              <w:right w:val="single" w:sz="4" w:space="0" w:color="auto"/>
            </w:tcBorders>
            <w:shd w:val="clear" w:color="auto" w:fill="auto"/>
            <w:noWrap/>
            <w:vAlign w:val="bottom"/>
            <w:hideMark/>
          </w:tcPr>
          <w:p w14:paraId="2501061E"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Horkitz</w:t>
            </w:r>
            <w:proofErr w:type="spellEnd"/>
          </w:p>
        </w:tc>
      </w:tr>
      <w:tr w:rsidR="004808B5" w:rsidRPr="004808B5" w14:paraId="6085D6E4"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9AE35C4" w14:textId="77777777" w:rsidR="004808B5" w:rsidRPr="004808B5" w:rsidRDefault="004808B5" w:rsidP="004808B5">
            <w:pPr>
              <w:rPr>
                <w:rFonts w:ascii="Calibri" w:hAnsi="Calibri" w:cs="Calibri"/>
                <w:color w:val="000000"/>
              </w:rPr>
            </w:pPr>
            <w:r w:rsidRPr="004808B5">
              <w:rPr>
                <w:rFonts w:ascii="Calibri" w:hAnsi="Calibri" w:cs="Calibri"/>
                <w:color w:val="000000"/>
              </w:rPr>
              <w:t>CAEECC Facilitation/Concur, Inc.</w:t>
            </w:r>
          </w:p>
        </w:tc>
        <w:tc>
          <w:tcPr>
            <w:tcW w:w="1112" w:type="dxa"/>
            <w:tcBorders>
              <w:top w:val="nil"/>
              <w:left w:val="nil"/>
              <w:bottom w:val="single" w:sz="4" w:space="0" w:color="auto"/>
              <w:right w:val="single" w:sz="4" w:space="0" w:color="auto"/>
            </w:tcBorders>
            <w:shd w:val="clear" w:color="auto" w:fill="auto"/>
            <w:noWrap/>
            <w:vAlign w:val="bottom"/>
            <w:hideMark/>
          </w:tcPr>
          <w:p w14:paraId="3B518A3A" w14:textId="77777777" w:rsidR="004808B5" w:rsidRPr="004808B5" w:rsidRDefault="004808B5" w:rsidP="004808B5">
            <w:pPr>
              <w:rPr>
                <w:rFonts w:ascii="Calibri" w:hAnsi="Calibri" w:cs="Calibri"/>
                <w:color w:val="000000"/>
              </w:rPr>
            </w:pPr>
            <w:r w:rsidRPr="004808B5">
              <w:rPr>
                <w:rFonts w:ascii="Calibri" w:hAnsi="Calibri" w:cs="Calibri"/>
                <w:color w:val="000000"/>
              </w:rPr>
              <w:t>Meredith</w:t>
            </w:r>
          </w:p>
        </w:tc>
        <w:tc>
          <w:tcPr>
            <w:tcW w:w="1872" w:type="dxa"/>
            <w:tcBorders>
              <w:top w:val="nil"/>
              <w:left w:val="nil"/>
              <w:bottom w:val="single" w:sz="4" w:space="0" w:color="auto"/>
              <w:right w:val="single" w:sz="4" w:space="0" w:color="auto"/>
            </w:tcBorders>
            <w:shd w:val="clear" w:color="auto" w:fill="auto"/>
            <w:noWrap/>
            <w:vAlign w:val="bottom"/>
            <w:hideMark/>
          </w:tcPr>
          <w:p w14:paraId="4230ADBC" w14:textId="77777777" w:rsidR="004808B5" w:rsidRPr="004808B5" w:rsidRDefault="004808B5" w:rsidP="004808B5">
            <w:pPr>
              <w:rPr>
                <w:rFonts w:ascii="Calibri" w:hAnsi="Calibri" w:cs="Calibri"/>
                <w:color w:val="000000"/>
              </w:rPr>
            </w:pPr>
            <w:r w:rsidRPr="004808B5">
              <w:rPr>
                <w:rFonts w:ascii="Calibri" w:hAnsi="Calibri" w:cs="Calibri"/>
                <w:color w:val="000000"/>
              </w:rPr>
              <w:t>Cowart</w:t>
            </w:r>
          </w:p>
        </w:tc>
      </w:tr>
      <w:tr w:rsidR="004808B5" w:rsidRPr="004808B5" w14:paraId="2F2A04AF"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991E19E" w14:textId="77777777" w:rsidR="004808B5" w:rsidRPr="004808B5" w:rsidRDefault="004808B5" w:rsidP="004808B5">
            <w:pPr>
              <w:rPr>
                <w:rFonts w:ascii="Calibri" w:hAnsi="Calibri" w:cs="Calibri"/>
                <w:color w:val="000000"/>
              </w:rPr>
            </w:pPr>
            <w:r w:rsidRPr="004808B5">
              <w:rPr>
                <w:rFonts w:ascii="Calibri" w:hAnsi="Calibri" w:cs="Calibri"/>
                <w:color w:val="000000"/>
              </w:rPr>
              <w:t>CPUC</w:t>
            </w:r>
          </w:p>
        </w:tc>
        <w:tc>
          <w:tcPr>
            <w:tcW w:w="1112" w:type="dxa"/>
            <w:tcBorders>
              <w:top w:val="nil"/>
              <w:left w:val="nil"/>
              <w:bottom w:val="single" w:sz="4" w:space="0" w:color="auto"/>
              <w:right w:val="single" w:sz="4" w:space="0" w:color="auto"/>
            </w:tcBorders>
            <w:shd w:val="clear" w:color="auto" w:fill="auto"/>
            <w:noWrap/>
            <w:vAlign w:val="bottom"/>
            <w:hideMark/>
          </w:tcPr>
          <w:p w14:paraId="3C891662" w14:textId="77777777" w:rsidR="004808B5" w:rsidRPr="004808B5" w:rsidRDefault="004808B5" w:rsidP="004808B5">
            <w:pPr>
              <w:rPr>
                <w:rFonts w:ascii="Calibri" w:hAnsi="Calibri" w:cs="Calibri"/>
                <w:color w:val="000000"/>
              </w:rPr>
            </w:pPr>
            <w:r w:rsidRPr="004808B5">
              <w:rPr>
                <w:rFonts w:ascii="Calibri" w:hAnsi="Calibri" w:cs="Calibri"/>
                <w:color w:val="000000"/>
              </w:rPr>
              <w:t>Jordan</w:t>
            </w:r>
          </w:p>
        </w:tc>
        <w:tc>
          <w:tcPr>
            <w:tcW w:w="1872" w:type="dxa"/>
            <w:tcBorders>
              <w:top w:val="nil"/>
              <w:left w:val="nil"/>
              <w:bottom w:val="single" w:sz="4" w:space="0" w:color="auto"/>
              <w:right w:val="single" w:sz="4" w:space="0" w:color="auto"/>
            </w:tcBorders>
            <w:shd w:val="clear" w:color="auto" w:fill="auto"/>
            <w:noWrap/>
            <w:vAlign w:val="bottom"/>
            <w:hideMark/>
          </w:tcPr>
          <w:p w14:paraId="722C78FA" w14:textId="77777777" w:rsidR="004808B5" w:rsidRPr="004808B5" w:rsidRDefault="004808B5" w:rsidP="004808B5">
            <w:pPr>
              <w:rPr>
                <w:rFonts w:ascii="Calibri" w:hAnsi="Calibri" w:cs="Calibri"/>
                <w:color w:val="000000"/>
              </w:rPr>
            </w:pPr>
            <w:r w:rsidRPr="004808B5">
              <w:rPr>
                <w:rFonts w:ascii="Calibri" w:hAnsi="Calibri" w:cs="Calibri"/>
                <w:color w:val="000000"/>
              </w:rPr>
              <w:t>Christenson</w:t>
            </w:r>
          </w:p>
        </w:tc>
      </w:tr>
      <w:tr w:rsidR="004808B5" w:rsidRPr="004808B5" w14:paraId="720E33E0"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A027CC5" w14:textId="77777777" w:rsidR="004808B5" w:rsidRPr="004808B5" w:rsidRDefault="004808B5" w:rsidP="004808B5">
            <w:pPr>
              <w:rPr>
                <w:rFonts w:ascii="Calibri" w:hAnsi="Calibri" w:cs="Calibri"/>
                <w:color w:val="000000"/>
              </w:rPr>
            </w:pPr>
            <w:r w:rsidRPr="004808B5">
              <w:rPr>
                <w:rFonts w:ascii="Calibri" w:hAnsi="Calibri" w:cs="Calibri"/>
                <w:color w:val="000000"/>
              </w:rPr>
              <w:t>CPUC</w:t>
            </w:r>
          </w:p>
        </w:tc>
        <w:tc>
          <w:tcPr>
            <w:tcW w:w="1112" w:type="dxa"/>
            <w:tcBorders>
              <w:top w:val="nil"/>
              <w:left w:val="nil"/>
              <w:bottom w:val="single" w:sz="4" w:space="0" w:color="auto"/>
              <w:right w:val="single" w:sz="4" w:space="0" w:color="auto"/>
            </w:tcBorders>
            <w:shd w:val="clear" w:color="auto" w:fill="auto"/>
            <w:noWrap/>
            <w:vAlign w:val="bottom"/>
            <w:hideMark/>
          </w:tcPr>
          <w:p w14:paraId="4C79918B" w14:textId="77777777" w:rsidR="004808B5" w:rsidRPr="004808B5" w:rsidRDefault="004808B5" w:rsidP="004808B5">
            <w:pPr>
              <w:rPr>
                <w:rFonts w:ascii="Calibri" w:hAnsi="Calibri" w:cs="Calibri"/>
                <w:color w:val="000000"/>
              </w:rPr>
            </w:pPr>
            <w:r w:rsidRPr="004808B5">
              <w:rPr>
                <w:rFonts w:ascii="Calibri" w:hAnsi="Calibri" w:cs="Calibri"/>
                <w:color w:val="000000"/>
              </w:rPr>
              <w:t>Augustus</w:t>
            </w:r>
          </w:p>
        </w:tc>
        <w:tc>
          <w:tcPr>
            <w:tcW w:w="1872" w:type="dxa"/>
            <w:tcBorders>
              <w:top w:val="nil"/>
              <w:left w:val="nil"/>
              <w:bottom w:val="single" w:sz="4" w:space="0" w:color="auto"/>
              <w:right w:val="single" w:sz="4" w:space="0" w:color="auto"/>
            </w:tcBorders>
            <w:shd w:val="clear" w:color="auto" w:fill="auto"/>
            <w:noWrap/>
            <w:vAlign w:val="bottom"/>
            <w:hideMark/>
          </w:tcPr>
          <w:p w14:paraId="6ED164A0" w14:textId="77777777" w:rsidR="004808B5" w:rsidRPr="004808B5" w:rsidRDefault="004808B5" w:rsidP="004808B5">
            <w:pPr>
              <w:rPr>
                <w:rFonts w:ascii="Calibri" w:hAnsi="Calibri" w:cs="Calibri"/>
                <w:color w:val="000000"/>
              </w:rPr>
            </w:pPr>
            <w:r w:rsidRPr="004808B5">
              <w:rPr>
                <w:rFonts w:ascii="Calibri" w:hAnsi="Calibri" w:cs="Calibri"/>
                <w:color w:val="000000"/>
              </w:rPr>
              <w:t>Clements</w:t>
            </w:r>
          </w:p>
        </w:tc>
      </w:tr>
      <w:tr w:rsidR="004808B5" w:rsidRPr="004808B5" w14:paraId="251C1E78"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25E90BFE" w14:textId="77777777" w:rsidR="004808B5" w:rsidRPr="004808B5" w:rsidRDefault="004808B5" w:rsidP="004808B5">
            <w:pPr>
              <w:rPr>
                <w:rFonts w:ascii="Calibri" w:hAnsi="Calibri" w:cs="Calibri"/>
                <w:color w:val="000000"/>
              </w:rPr>
            </w:pPr>
            <w:r w:rsidRPr="004808B5">
              <w:rPr>
                <w:rFonts w:ascii="Calibri" w:hAnsi="Calibri" w:cs="Calibri"/>
                <w:color w:val="000000"/>
              </w:rPr>
              <w:t>DNV GL</w:t>
            </w:r>
          </w:p>
        </w:tc>
        <w:tc>
          <w:tcPr>
            <w:tcW w:w="1112" w:type="dxa"/>
            <w:tcBorders>
              <w:top w:val="nil"/>
              <w:left w:val="nil"/>
              <w:bottom w:val="single" w:sz="4" w:space="0" w:color="auto"/>
              <w:right w:val="single" w:sz="4" w:space="0" w:color="auto"/>
            </w:tcBorders>
            <w:shd w:val="clear" w:color="auto" w:fill="auto"/>
            <w:noWrap/>
            <w:vAlign w:val="bottom"/>
            <w:hideMark/>
          </w:tcPr>
          <w:p w14:paraId="787DCD3C" w14:textId="77777777" w:rsidR="004808B5" w:rsidRPr="004808B5" w:rsidRDefault="004808B5" w:rsidP="004808B5">
            <w:pPr>
              <w:rPr>
                <w:rFonts w:ascii="Calibri" w:hAnsi="Calibri" w:cs="Calibri"/>
                <w:color w:val="000000"/>
              </w:rPr>
            </w:pPr>
            <w:r w:rsidRPr="004808B5">
              <w:rPr>
                <w:rFonts w:ascii="Calibri" w:hAnsi="Calibri" w:cs="Calibri"/>
                <w:color w:val="000000"/>
              </w:rPr>
              <w:t>Nick</w:t>
            </w:r>
          </w:p>
        </w:tc>
        <w:tc>
          <w:tcPr>
            <w:tcW w:w="1872" w:type="dxa"/>
            <w:tcBorders>
              <w:top w:val="nil"/>
              <w:left w:val="nil"/>
              <w:bottom w:val="single" w:sz="4" w:space="0" w:color="auto"/>
              <w:right w:val="single" w:sz="4" w:space="0" w:color="auto"/>
            </w:tcBorders>
            <w:shd w:val="clear" w:color="auto" w:fill="auto"/>
            <w:noWrap/>
            <w:vAlign w:val="bottom"/>
            <w:hideMark/>
          </w:tcPr>
          <w:p w14:paraId="0D377F52"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Brod</w:t>
            </w:r>
            <w:proofErr w:type="spellEnd"/>
          </w:p>
        </w:tc>
      </w:tr>
      <w:tr w:rsidR="004808B5" w:rsidRPr="004808B5" w14:paraId="28B1D15C"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2C9A57B" w14:textId="77777777" w:rsidR="004808B5" w:rsidRPr="004808B5" w:rsidRDefault="004808B5" w:rsidP="004808B5">
            <w:pPr>
              <w:rPr>
                <w:rFonts w:ascii="Calibri" w:hAnsi="Calibri" w:cs="Calibri"/>
                <w:color w:val="000000"/>
              </w:rPr>
            </w:pPr>
            <w:r w:rsidRPr="004808B5">
              <w:rPr>
                <w:rFonts w:ascii="Calibri" w:hAnsi="Calibri" w:cs="Calibri"/>
                <w:color w:val="000000"/>
              </w:rPr>
              <w:t>EAJ Energy Advisors</w:t>
            </w:r>
          </w:p>
        </w:tc>
        <w:tc>
          <w:tcPr>
            <w:tcW w:w="1112" w:type="dxa"/>
            <w:tcBorders>
              <w:top w:val="nil"/>
              <w:left w:val="nil"/>
              <w:bottom w:val="single" w:sz="4" w:space="0" w:color="auto"/>
              <w:right w:val="single" w:sz="4" w:space="0" w:color="auto"/>
            </w:tcBorders>
            <w:shd w:val="clear" w:color="auto" w:fill="auto"/>
            <w:noWrap/>
            <w:vAlign w:val="bottom"/>
            <w:hideMark/>
          </w:tcPr>
          <w:p w14:paraId="4CDE28E3" w14:textId="77777777" w:rsidR="004808B5" w:rsidRPr="004808B5" w:rsidRDefault="004808B5" w:rsidP="004808B5">
            <w:pPr>
              <w:rPr>
                <w:rFonts w:ascii="Calibri" w:hAnsi="Calibri" w:cs="Calibri"/>
                <w:color w:val="000000"/>
              </w:rPr>
            </w:pPr>
            <w:r w:rsidRPr="004808B5">
              <w:rPr>
                <w:rFonts w:ascii="Calibri" w:hAnsi="Calibri" w:cs="Calibri"/>
                <w:color w:val="000000"/>
              </w:rPr>
              <w:t>Steve</w:t>
            </w:r>
          </w:p>
        </w:tc>
        <w:tc>
          <w:tcPr>
            <w:tcW w:w="1872" w:type="dxa"/>
            <w:tcBorders>
              <w:top w:val="nil"/>
              <w:left w:val="nil"/>
              <w:bottom w:val="single" w:sz="4" w:space="0" w:color="auto"/>
              <w:right w:val="single" w:sz="4" w:space="0" w:color="auto"/>
            </w:tcBorders>
            <w:shd w:val="clear" w:color="auto" w:fill="auto"/>
            <w:noWrap/>
            <w:vAlign w:val="bottom"/>
            <w:hideMark/>
          </w:tcPr>
          <w:p w14:paraId="01D37811" w14:textId="77777777" w:rsidR="004808B5" w:rsidRPr="004808B5" w:rsidRDefault="004808B5" w:rsidP="004808B5">
            <w:pPr>
              <w:rPr>
                <w:rFonts w:ascii="Calibri" w:hAnsi="Calibri" w:cs="Calibri"/>
                <w:color w:val="000000"/>
              </w:rPr>
            </w:pPr>
            <w:r w:rsidRPr="004808B5">
              <w:rPr>
                <w:rFonts w:ascii="Calibri" w:hAnsi="Calibri" w:cs="Calibri"/>
                <w:color w:val="000000"/>
              </w:rPr>
              <w:t>McCarty</w:t>
            </w:r>
          </w:p>
        </w:tc>
      </w:tr>
      <w:tr w:rsidR="004808B5" w:rsidRPr="004808B5" w14:paraId="6953E07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8B97E35" w14:textId="77777777" w:rsidR="004808B5" w:rsidRPr="004808B5" w:rsidRDefault="004808B5" w:rsidP="004808B5">
            <w:pPr>
              <w:rPr>
                <w:rFonts w:ascii="Calibri" w:hAnsi="Calibri" w:cs="Calibri"/>
                <w:color w:val="000000"/>
              </w:rPr>
            </w:pPr>
            <w:r w:rsidRPr="004808B5">
              <w:rPr>
                <w:rFonts w:ascii="Calibri" w:hAnsi="Calibri" w:cs="Calibri"/>
                <w:color w:val="000000"/>
              </w:rPr>
              <w:t>Energy Solutions</w:t>
            </w:r>
          </w:p>
        </w:tc>
        <w:tc>
          <w:tcPr>
            <w:tcW w:w="1112" w:type="dxa"/>
            <w:tcBorders>
              <w:top w:val="nil"/>
              <w:left w:val="nil"/>
              <w:bottom w:val="single" w:sz="4" w:space="0" w:color="auto"/>
              <w:right w:val="single" w:sz="4" w:space="0" w:color="auto"/>
            </w:tcBorders>
            <w:shd w:val="clear" w:color="auto" w:fill="auto"/>
            <w:noWrap/>
            <w:vAlign w:val="bottom"/>
            <w:hideMark/>
          </w:tcPr>
          <w:p w14:paraId="0F2B822F" w14:textId="77777777" w:rsidR="004808B5" w:rsidRPr="004808B5" w:rsidRDefault="004808B5" w:rsidP="004808B5">
            <w:pPr>
              <w:rPr>
                <w:rFonts w:ascii="Calibri" w:hAnsi="Calibri" w:cs="Calibri"/>
                <w:color w:val="000000"/>
              </w:rPr>
            </w:pPr>
            <w:r w:rsidRPr="004808B5">
              <w:rPr>
                <w:rFonts w:ascii="Calibri" w:hAnsi="Calibri" w:cs="Calibri"/>
                <w:color w:val="000000"/>
              </w:rPr>
              <w:t>James</w:t>
            </w:r>
          </w:p>
        </w:tc>
        <w:tc>
          <w:tcPr>
            <w:tcW w:w="1872" w:type="dxa"/>
            <w:tcBorders>
              <w:top w:val="nil"/>
              <w:left w:val="nil"/>
              <w:bottom w:val="single" w:sz="4" w:space="0" w:color="auto"/>
              <w:right w:val="single" w:sz="4" w:space="0" w:color="auto"/>
            </w:tcBorders>
            <w:shd w:val="clear" w:color="auto" w:fill="auto"/>
            <w:noWrap/>
            <w:vAlign w:val="bottom"/>
            <w:hideMark/>
          </w:tcPr>
          <w:p w14:paraId="132E1121" w14:textId="77777777" w:rsidR="004808B5" w:rsidRPr="004808B5" w:rsidRDefault="004808B5" w:rsidP="004808B5">
            <w:pPr>
              <w:rPr>
                <w:rFonts w:ascii="Calibri" w:hAnsi="Calibri" w:cs="Calibri"/>
                <w:color w:val="000000"/>
              </w:rPr>
            </w:pPr>
            <w:r w:rsidRPr="004808B5">
              <w:rPr>
                <w:rFonts w:ascii="Calibri" w:hAnsi="Calibri" w:cs="Calibri"/>
                <w:color w:val="000000"/>
              </w:rPr>
              <w:t>Hanna</w:t>
            </w:r>
          </w:p>
        </w:tc>
      </w:tr>
      <w:tr w:rsidR="004808B5" w:rsidRPr="004808B5" w14:paraId="614E54DA"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1D778B8" w14:textId="77777777" w:rsidR="004808B5" w:rsidRPr="004808B5" w:rsidRDefault="004808B5" w:rsidP="004808B5">
            <w:pPr>
              <w:rPr>
                <w:rFonts w:ascii="Calibri" w:hAnsi="Calibri" w:cs="Calibri"/>
                <w:color w:val="000000"/>
              </w:rPr>
            </w:pPr>
            <w:r w:rsidRPr="004808B5">
              <w:rPr>
                <w:rFonts w:ascii="Calibri" w:hAnsi="Calibri" w:cs="Calibri"/>
                <w:color w:val="000000"/>
              </w:rPr>
              <w:t xml:space="preserve">Franklin Energy  </w:t>
            </w:r>
          </w:p>
        </w:tc>
        <w:tc>
          <w:tcPr>
            <w:tcW w:w="1112" w:type="dxa"/>
            <w:tcBorders>
              <w:top w:val="nil"/>
              <w:left w:val="nil"/>
              <w:bottom w:val="single" w:sz="4" w:space="0" w:color="auto"/>
              <w:right w:val="single" w:sz="4" w:space="0" w:color="auto"/>
            </w:tcBorders>
            <w:shd w:val="clear" w:color="auto" w:fill="auto"/>
            <w:noWrap/>
            <w:vAlign w:val="bottom"/>
            <w:hideMark/>
          </w:tcPr>
          <w:p w14:paraId="523F00DC" w14:textId="77777777" w:rsidR="004808B5" w:rsidRPr="004808B5" w:rsidRDefault="004808B5" w:rsidP="004808B5">
            <w:pPr>
              <w:rPr>
                <w:rFonts w:ascii="Calibri" w:hAnsi="Calibri" w:cs="Calibri"/>
                <w:color w:val="000000"/>
              </w:rPr>
            </w:pPr>
            <w:r w:rsidRPr="004808B5">
              <w:rPr>
                <w:rFonts w:ascii="Calibri" w:hAnsi="Calibri" w:cs="Calibri"/>
                <w:color w:val="000000"/>
              </w:rPr>
              <w:t>David</w:t>
            </w:r>
          </w:p>
        </w:tc>
        <w:tc>
          <w:tcPr>
            <w:tcW w:w="1872" w:type="dxa"/>
            <w:tcBorders>
              <w:top w:val="nil"/>
              <w:left w:val="nil"/>
              <w:bottom w:val="single" w:sz="4" w:space="0" w:color="auto"/>
              <w:right w:val="single" w:sz="4" w:space="0" w:color="auto"/>
            </w:tcBorders>
            <w:shd w:val="clear" w:color="auto" w:fill="auto"/>
            <w:noWrap/>
            <w:vAlign w:val="bottom"/>
            <w:hideMark/>
          </w:tcPr>
          <w:p w14:paraId="5610E5D7" w14:textId="77777777" w:rsidR="004808B5" w:rsidRPr="004808B5" w:rsidRDefault="004808B5" w:rsidP="004808B5">
            <w:pPr>
              <w:rPr>
                <w:rFonts w:ascii="Calibri" w:hAnsi="Calibri" w:cs="Calibri"/>
                <w:color w:val="000000"/>
              </w:rPr>
            </w:pPr>
            <w:r w:rsidRPr="004808B5">
              <w:rPr>
                <w:rFonts w:ascii="Calibri" w:hAnsi="Calibri" w:cs="Calibri"/>
                <w:color w:val="000000"/>
              </w:rPr>
              <w:t>Myers</w:t>
            </w:r>
          </w:p>
        </w:tc>
      </w:tr>
      <w:tr w:rsidR="004808B5" w:rsidRPr="004808B5" w14:paraId="45916575"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51A10AE" w14:textId="77777777" w:rsidR="004808B5" w:rsidRPr="004808B5" w:rsidRDefault="004808B5" w:rsidP="004808B5">
            <w:pPr>
              <w:rPr>
                <w:rFonts w:ascii="Calibri" w:hAnsi="Calibri" w:cs="Calibri"/>
                <w:color w:val="000000"/>
              </w:rPr>
            </w:pPr>
            <w:r w:rsidRPr="004808B5">
              <w:rPr>
                <w:rFonts w:ascii="Calibri" w:hAnsi="Calibri" w:cs="Calibri"/>
                <w:color w:val="000000"/>
              </w:rPr>
              <w:t>Franklin Energy</w:t>
            </w:r>
          </w:p>
        </w:tc>
        <w:tc>
          <w:tcPr>
            <w:tcW w:w="1112" w:type="dxa"/>
            <w:tcBorders>
              <w:top w:val="nil"/>
              <w:left w:val="nil"/>
              <w:bottom w:val="single" w:sz="4" w:space="0" w:color="auto"/>
              <w:right w:val="single" w:sz="4" w:space="0" w:color="auto"/>
            </w:tcBorders>
            <w:shd w:val="clear" w:color="auto" w:fill="auto"/>
            <w:noWrap/>
            <w:vAlign w:val="bottom"/>
            <w:hideMark/>
          </w:tcPr>
          <w:p w14:paraId="23FEA2C1" w14:textId="77777777" w:rsidR="004808B5" w:rsidRPr="004808B5" w:rsidRDefault="004808B5" w:rsidP="004808B5">
            <w:pPr>
              <w:rPr>
                <w:rFonts w:ascii="Calibri" w:hAnsi="Calibri" w:cs="Calibri"/>
                <w:color w:val="000000"/>
              </w:rPr>
            </w:pPr>
            <w:r w:rsidRPr="004808B5">
              <w:rPr>
                <w:rFonts w:ascii="Calibri" w:hAnsi="Calibri" w:cs="Calibri"/>
                <w:color w:val="000000"/>
              </w:rPr>
              <w:t>Brett</w:t>
            </w:r>
          </w:p>
        </w:tc>
        <w:tc>
          <w:tcPr>
            <w:tcW w:w="1872" w:type="dxa"/>
            <w:tcBorders>
              <w:top w:val="nil"/>
              <w:left w:val="nil"/>
              <w:bottom w:val="single" w:sz="4" w:space="0" w:color="auto"/>
              <w:right w:val="single" w:sz="4" w:space="0" w:color="auto"/>
            </w:tcBorders>
            <w:shd w:val="clear" w:color="auto" w:fill="auto"/>
            <w:noWrap/>
            <w:vAlign w:val="bottom"/>
            <w:hideMark/>
          </w:tcPr>
          <w:p w14:paraId="7AB67AC9" w14:textId="77777777" w:rsidR="004808B5" w:rsidRPr="004808B5" w:rsidRDefault="004808B5" w:rsidP="004808B5">
            <w:pPr>
              <w:rPr>
                <w:rFonts w:ascii="Calibri" w:hAnsi="Calibri" w:cs="Calibri"/>
                <w:color w:val="000000"/>
              </w:rPr>
            </w:pPr>
            <w:r w:rsidRPr="004808B5">
              <w:rPr>
                <w:rFonts w:ascii="Calibri" w:hAnsi="Calibri" w:cs="Calibri"/>
                <w:color w:val="000000"/>
              </w:rPr>
              <w:t>Bishop</w:t>
            </w:r>
          </w:p>
        </w:tc>
      </w:tr>
      <w:tr w:rsidR="004808B5" w:rsidRPr="004808B5" w14:paraId="0239F874"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5EE1DD4" w14:textId="77777777" w:rsidR="004808B5" w:rsidRPr="004808B5" w:rsidRDefault="004808B5" w:rsidP="004808B5">
            <w:pPr>
              <w:rPr>
                <w:rFonts w:ascii="Calibri" w:hAnsi="Calibri" w:cs="Calibri"/>
                <w:color w:val="000000"/>
              </w:rPr>
            </w:pPr>
            <w:r w:rsidRPr="004808B5">
              <w:rPr>
                <w:rFonts w:ascii="Calibri" w:hAnsi="Calibri" w:cs="Calibri"/>
                <w:color w:val="000000"/>
              </w:rPr>
              <w:t>Frontier Energy</w:t>
            </w:r>
          </w:p>
        </w:tc>
        <w:tc>
          <w:tcPr>
            <w:tcW w:w="1112" w:type="dxa"/>
            <w:tcBorders>
              <w:top w:val="nil"/>
              <w:left w:val="nil"/>
              <w:bottom w:val="single" w:sz="4" w:space="0" w:color="auto"/>
              <w:right w:val="single" w:sz="4" w:space="0" w:color="auto"/>
            </w:tcBorders>
            <w:shd w:val="clear" w:color="auto" w:fill="auto"/>
            <w:noWrap/>
            <w:vAlign w:val="bottom"/>
            <w:hideMark/>
          </w:tcPr>
          <w:p w14:paraId="4AFB5689" w14:textId="77777777" w:rsidR="004808B5" w:rsidRPr="004808B5" w:rsidRDefault="004808B5" w:rsidP="004808B5">
            <w:pPr>
              <w:rPr>
                <w:rFonts w:ascii="Calibri" w:hAnsi="Calibri" w:cs="Calibri"/>
                <w:color w:val="000000"/>
              </w:rPr>
            </w:pPr>
            <w:r w:rsidRPr="004808B5">
              <w:rPr>
                <w:rFonts w:ascii="Calibri" w:hAnsi="Calibri" w:cs="Calibri"/>
                <w:color w:val="000000"/>
              </w:rPr>
              <w:t>Nancy</w:t>
            </w:r>
          </w:p>
        </w:tc>
        <w:tc>
          <w:tcPr>
            <w:tcW w:w="1872" w:type="dxa"/>
            <w:tcBorders>
              <w:top w:val="nil"/>
              <w:left w:val="nil"/>
              <w:bottom w:val="single" w:sz="4" w:space="0" w:color="auto"/>
              <w:right w:val="single" w:sz="4" w:space="0" w:color="auto"/>
            </w:tcBorders>
            <w:shd w:val="clear" w:color="auto" w:fill="auto"/>
            <w:noWrap/>
            <w:vAlign w:val="bottom"/>
            <w:hideMark/>
          </w:tcPr>
          <w:p w14:paraId="27339DD0" w14:textId="77777777" w:rsidR="004808B5" w:rsidRPr="004808B5" w:rsidRDefault="004808B5" w:rsidP="004808B5">
            <w:pPr>
              <w:rPr>
                <w:rFonts w:ascii="Calibri" w:hAnsi="Calibri" w:cs="Calibri"/>
                <w:color w:val="000000"/>
              </w:rPr>
            </w:pPr>
            <w:r w:rsidRPr="004808B5">
              <w:rPr>
                <w:rFonts w:ascii="Calibri" w:hAnsi="Calibri" w:cs="Calibri"/>
                <w:color w:val="000000"/>
              </w:rPr>
              <w:t>Barba</w:t>
            </w:r>
          </w:p>
        </w:tc>
      </w:tr>
      <w:tr w:rsidR="004808B5" w:rsidRPr="004808B5" w14:paraId="63411F1B"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4FD1CFC" w14:textId="77777777" w:rsidR="004808B5" w:rsidRPr="004808B5" w:rsidRDefault="004808B5" w:rsidP="004808B5">
            <w:pPr>
              <w:rPr>
                <w:rFonts w:ascii="Calibri" w:hAnsi="Calibri" w:cs="Calibri"/>
                <w:color w:val="000000"/>
              </w:rPr>
            </w:pPr>
            <w:r w:rsidRPr="004808B5">
              <w:rPr>
                <w:rFonts w:ascii="Calibri" w:hAnsi="Calibri" w:cs="Calibri"/>
                <w:color w:val="000000"/>
              </w:rPr>
              <w:t>Greenbank Associates</w:t>
            </w:r>
          </w:p>
        </w:tc>
        <w:tc>
          <w:tcPr>
            <w:tcW w:w="1112" w:type="dxa"/>
            <w:tcBorders>
              <w:top w:val="nil"/>
              <w:left w:val="nil"/>
              <w:bottom w:val="single" w:sz="4" w:space="0" w:color="auto"/>
              <w:right w:val="single" w:sz="4" w:space="0" w:color="auto"/>
            </w:tcBorders>
            <w:shd w:val="clear" w:color="auto" w:fill="auto"/>
            <w:noWrap/>
            <w:vAlign w:val="bottom"/>
            <w:hideMark/>
          </w:tcPr>
          <w:p w14:paraId="7D4DB4C8" w14:textId="77777777" w:rsidR="004808B5" w:rsidRPr="004808B5" w:rsidRDefault="004808B5" w:rsidP="004808B5">
            <w:pPr>
              <w:rPr>
                <w:rFonts w:ascii="Calibri" w:hAnsi="Calibri" w:cs="Calibri"/>
                <w:color w:val="000000"/>
              </w:rPr>
            </w:pPr>
            <w:r w:rsidRPr="004808B5">
              <w:rPr>
                <w:rFonts w:ascii="Calibri" w:hAnsi="Calibri" w:cs="Calibri"/>
                <w:color w:val="000000"/>
              </w:rPr>
              <w:t>Alice</w:t>
            </w:r>
          </w:p>
        </w:tc>
        <w:tc>
          <w:tcPr>
            <w:tcW w:w="1872" w:type="dxa"/>
            <w:tcBorders>
              <w:top w:val="nil"/>
              <w:left w:val="nil"/>
              <w:bottom w:val="single" w:sz="4" w:space="0" w:color="auto"/>
              <w:right w:val="single" w:sz="4" w:space="0" w:color="auto"/>
            </w:tcBorders>
            <w:shd w:val="clear" w:color="auto" w:fill="auto"/>
            <w:noWrap/>
            <w:vAlign w:val="bottom"/>
            <w:hideMark/>
          </w:tcPr>
          <w:p w14:paraId="291D4732" w14:textId="77777777" w:rsidR="004808B5" w:rsidRPr="004808B5" w:rsidRDefault="004808B5" w:rsidP="004808B5">
            <w:pPr>
              <w:rPr>
                <w:rFonts w:ascii="Calibri" w:hAnsi="Calibri" w:cs="Calibri"/>
                <w:color w:val="000000"/>
              </w:rPr>
            </w:pPr>
            <w:r w:rsidRPr="004808B5">
              <w:rPr>
                <w:rFonts w:ascii="Calibri" w:hAnsi="Calibri" w:cs="Calibri"/>
                <w:color w:val="000000"/>
              </w:rPr>
              <w:t>Sung</w:t>
            </w:r>
          </w:p>
        </w:tc>
      </w:tr>
      <w:tr w:rsidR="004808B5" w:rsidRPr="004808B5" w14:paraId="7D8B8A53"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45335C2" w14:textId="77777777" w:rsidR="004808B5" w:rsidRPr="004808B5" w:rsidRDefault="004808B5" w:rsidP="004808B5">
            <w:pPr>
              <w:rPr>
                <w:rFonts w:ascii="Calibri" w:hAnsi="Calibri" w:cs="Calibri"/>
                <w:color w:val="000000"/>
              </w:rPr>
            </w:pPr>
            <w:r w:rsidRPr="004808B5">
              <w:rPr>
                <w:rFonts w:ascii="Calibri" w:hAnsi="Calibri" w:cs="Calibri"/>
                <w:color w:val="000000"/>
              </w:rPr>
              <w:t>LADWP</w:t>
            </w:r>
          </w:p>
        </w:tc>
        <w:tc>
          <w:tcPr>
            <w:tcW w:w="1112" w:type="dxa"/>
            <w:tcBorders>
              <w:top w:val="nil"/>
              <w:left w:val="nil"/>
              <w:bottom w:val="single" w:sz="4" w:space="0" w:color="auto"/>
              <w:right w:val="single" w:sz="4" w:space="0" w:color="auto"/>
            </w:tcBorders>
            <w:shd w:val="clear" w:color="auto" w:fill="auto"/>
            <w:noWrap/>
            <w:vAlign w:val="bottom"/>
            <w:hideMark/>
          </w:tcPr>
          <w:p w14:paraId="17424359" w14:textId="77777777" w:rsidR="004808B5" w:rsidRPr="004808B5" w:rsidRDefault="004808B5" w:rsidP="004808B5">
            <w:pPr>
              <w:rPr>
                <w:rFonts w:ascii="Calibri" w:hAnsi="Calibri" w:cs="Calibri"/>
                <w:color w:val="000000"/>
              </w:rPr>
            </w:pPr>
            <w:r w:rsidRPr="004808B5">
              <w:rPr>
                <w:rFonts w:ascii="Calibri" w:hAnsi="Calibri" w:cs="Calibri"/>
                <w:color w:val="000000"/>
              </w:rPr>
              <w:t>Armen</w:t>
            </w:r>
          </w:p>
        </w:tc>
        <w:tc>
          <w:tcPr>
            <w:tcW w:w="1872" w:type="dxa"/>
            <w:tcBorders>
              <w:top w:val="nil"/>
              <w:left w:val="nil"/>
              <w:bottom w:val="single" w:sz="4" w:space="0" w:color="auto"/>
              <w:right w:val="single" w:sz="4" w:space="0" w:color="auto"/>
            </w:tcBorders>
            <w:shd w:val="clear" w:color="auto" w:fill="auto"/>
            <w:noWrap/>
            <w:vAlign w:val="bottom"/>
            <w:hideMark/>
          </w:tcPr>
          <w:p w14:paraId="641E6813" w14:textId="77777777" w:rsidR="004808B5" w:rsidRPr="004808B5" w:rsidRDefault="004808B5" w:rsidP="004808B5">
            <w:pPr>
              <w:rPr>
                <w:rFonts w:ascii="Calibri" w:hAnsi="Calibri" w:cs="Calibri"/>
                <w:color w:val="000000"/>
              </w:rPr>
            </w:pPr>
            <w:r w:rsidRPr="004808B5">
              <w:rPr>
                <w:rFonts w:ascii="Calibri" w:hAnsi="Calibri" w:cs="Calibri"/>
                <w:color w:val="000000"/>
              </w:rPr>
              <w:t>Saiyan</w:t>
            </w:r>
          </w:p>
        </w:tc>
      </w:tr>
      <w:tr w:rsidR="004808B5" w:rsidRPr="004808B5" w14:paraId="0394A639"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6D4681CB" w14:textId="77777777" w:rsidR="004808B5" w:rsidRPr="004808B5" w:rsidRDefault="004808B5" w:rsidP="004808B5">
            <w:pPr>
              <w:rPr>
                <w:rFonts w:ascii="Calibri" w:hAnsi="Calibri" w:cs="Calibri"/>
                <w:color w:val="000000"/>
              </w:rPr>
            </w:pPr>
            <w:r w:rsidRPr="004808B5">
              <w:rPr>
                <w:rFonts w:ascii="Calibri" w:hAnsi="Calibri" w:cs="Calibri"/>
                <w:color w:val="000000"/>
              </w:rPr>
              <w:t>LADWP</w:t>
            </w:r>
          </w:p>
        </w:tc>
        <w:tc>
          <w:tcPr>
            <w:tcW w:w="1112" w:type="dxa"/>
            <w:tcBorders>
              <w:top w:val="nil"/>
              <w:left w:val="nil"/>
              <w:bottom w:val="single" w:sz="4" w:space="0" w:color="auto"/>
              <w:right w:val="single" w:sz="4" w:space="0" w:color="auto"/>
            </w:tcBorders>
            <w:shd w:val="clear" w:color="auto" w:fill="auto"/>
            <w:noWrap/>
            <w:vAlign w:val="bottom"/>
            <w:hideMark/>
          </w:tcPr>
          <w:p w14:paraId="44EE3B76" w14:textId="77777777" w:rsidR="004808B5" w:rsidRPr="004808B5" w:rsidRDefault="004808B5" w:rsidP="004808B5">
            <w:pPr>
              <w:rPr>
                <w:rFonts w:ascii="Calibri" w:hAnsi="Calibri" w:cs="Calibri"/>
                <w:color w:val="000000"/>
              </w:rPr>
            </w:pPr>
            <w:r w:rsidRPr="004808B5">
              <w:rPr>
                <w:rFonts w:ascii="Calibri" w:hAnsi="Calibri" w:cs="Calibri"/>
                <w:color w:val="000000"/>
              </w:rPr>
              <w:t>Luke</w:t>
            </w:r>
          </w:p>
        </w:tc>
        <w:tc>
          <w:tcPr>
            <w:tcW w:w="1872" w:type="dxa"/>
            <w:tcBorders>
              <w:top w:val="nil"/>
              <w:left w:val="nil"/>
              <w:bottom w:val="single" w:sz="4" w:space="0" w:color="auto"/>
              <w:right w:val="single" w:sz="4" w:space="0" w:color="auto"/>
            </w:tcBorders>
            <w:shd w:val="clear" w:color="auto" w:fill="auto"/>
            <w:noWrap/>
            <w:vAlign w:val="bottom"/>
            <w:hideMark/>
          </w:tcPr>
          <w:p w14:paraId="026BFB4F" w14:textId="77777777" w:rsidR="004808B5" w:rsidRPr="004808B5" w:rsidRDefault="004808B5" w:rsidP="004808B5">
            <w:pPr>
              <w:rPr>
                <w:rFonts w:ascii="Calibri" w:hAnsi="Calibri" w:cs="Calibri"/>
                <w:color w:val="000000"/>
              </w:rPr>
            </w:pPr>
            <w:r w:rsidRPr="004808B5">
              <w:rPr>
                <w:rFonts w:ascii="Calibri" w:hAnsi="Calibri" w:cs="Calibri"/>
                <w:color w:val="000000"/>
              </w:rPr>
              <w:t>Sun</w:t>
            </w:r>
          </w:p>
        </w:tc>
      </w:tr>
      <w:tr w:rsidR="004808B5" w:rsidRPr="004808B5" w14:paraId="7B15BA32"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8B985BD" w14:textId="77777777" w:rsidR="004808B5" w:rsidRPr="004808B5" w:rsidRDefault="004808B5" w:rsidP="004808B5">
            <w:pPr>
              <w:rPr>
                <w:rFonts w:ascii="Calibri" w:hAnsi="Calibri" w:cs="Calibri"/>
                <w:color w:val="000000"/>
              </w:rPr>
            </w:pPr>
            <w:r w:rsidRPr="004808B5">
              <w:rPr>
                <w:rFonts w:ascii="Calibri" w:hAnsi="Calibri" w:cs="Calibri"/>
                <w:color w:val="000000"/>
              </w:rPr>
              <w:t>LADWP</w:t>
            </w:r>
          </w:p>
        </w:tc>
        <w:tc>
          <w:tcPr>
            <w:tcW w:w="1112" w:type="dxa"/>
            <w:tcBorders>
              <w:top w:val="nil"/>
              <w:left w:val="nil"/>
              <w:bottom w:val="single" w:sz="4" w:space="0" w:color="auto"/>
              <w:right w:val="single" w:sz="4" w:space="0" w:color="auto"/>
            </w:tcBorders>
            <w:shd w:val="clear" w:color="auto" w:fill="auto"/>
            <w:noWrap/>
            <w:vAlign w:val="bottom"/>
            <w:hideMark/>
          </w:tcPr>
          <w:p w14:paraId="004C9ADE" w14:textId="77777777" w:rsidR="004808B5" w:rsidRPr="004808B5" w:rsidRDefault="004808B5" w:rsidP="004808B5">
            <w:pPr>
              <w:rPr>
                <w:rFonts w:ascii="Calibri" w:hAnsi="Calibri" w:cs="Calibri"/>
                <w:color w:val="000000"/>
              </w:rPr>
            </w:pPr>
            <w:r w:rsidRPr="004808B5">
              <w:rPr>
                <w:rFonts w:ascii="Calibri" w:hAnsi="Calibri" w:cs="Calibri"/>
                <w:color w:val="000000"/>
              </w:rPr>
              <w:t>Jeremiah</w:t>
            </w:r>
          </w:p>
        </w:tc>
        <w:tc>
          <w:tcPr>
            <w:tcW w:w="1872" w:type="dxa"/>
            <w:tcBorders>
              <w:top w:val="nil"/>
              <w:left w:val="nil"/>
              <w:bottom w:val="single" w:sz="4" w:space="0" w:color="auto"/>
              <w:right w:val="single" w:sz="4" w:space="0" w:color="auto"/>
            </w:tcBorders>
            <w:shd w:val="clear" w:color="auto" w:fill="auto"/>
            <w:noWrap/>
            <w:vAlign w:val="bottom"/>
            <w:hideMark/>
          </w:tcPr>
          <w:p w14:paraId="15DDDA8B" w14:textId="77777777" w:rsidR="004808B5" w:rsidRPr="004808B5" w:rsidRDefault="004808B5" w:rsidP="004808B5">
            <w:pPr>
              <w:rPr>
                <w:rFonts w:ascii="Calibri" w:hAnsi="Calibri" w:cs="Calibri"/>
                <w:color w:val="000000"/>
              </w:rPr>
            </w:pPr>
            <w:r w:rsidRPr="004808B5">
              <w:rPr>
                <w:rFonts w:ascii="Calibri" w:hAnsi="Calibri" w:cs="Calibri"/>
                <w:color w:val="000000"/>
              </w:rPr>
              <w:t>Valera</w:t>
            </w:r>
          </w:p>
        </w:tc>
      </w:tr>
      <w:tr w:rsidR="004808B5" w:rsidRPr="004808B5" w14:paraId="76618571"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B95051D"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Lincus</w:t>
            </w:r>
            <w:proofErr w:type="spellEnd"/>
            <w:r w:rsidRPr="004808B5">
              <w:rPr>
                <w:rFonts w:ascii="Calibri" w:hAnsi="Calibri" w:cs="Calibri"/>
                <w:color w:val="000000"/>
              </w:rPr>
              <w:t>, Inc.</w:t>
            </w:r>
          </w:p>
        </w:tc>
        <w:tc>
          <w:tcPr>
            <w:tcW w:w="1112" w:type="dxa"/>
            <w:tcBorders>
              <w:top w:val="nil"/>
              <w:left w:val="nil"/>
              <w:bottom w:val="single" w:sz="4" w:space="0" w:color="auto"/>
              <w:right w:val="single" w:sz="4" w:space="0" w:color="auto"/>
            </w:tcBorders>
            <w:shd w:val="clear" w:color="auto" w:fill="auto"/>
            <w:noWrap/>
            <w:vAlign w:val="bottom"/>
            <w:hideMark/>
          </w:tcPr>
          <w:p w14:paraId="6EF1D345" w14:textId="77777777" w:rsidR="004808B5" w:rsidRPr="004808B5" w:rsidRDefault="004808B5" w:rsidP="004808B5">
            <w:pPr>
              <w:rPr>
                <w:rFonts w:ascii="Calibri" w:hAnsi="Calibri" w:cs="Calibri"/>
                <w:color w:val="000000"/>
              </w:rPr>
            </w:pPr>
            <w:r w:rsidRPr="004808B5">
              <w:rPr>
                <w:rFonts w:ascii="Calibri" w:hAnsi="Calibri" w:cs="Calibri"/>
                <w:color w:val="000000"/>
              </w:rPr>
              <w:t>Cody</w:t>
            </w:r>
          </w:p>
        </w:tc>
        <w:tc>
          <w:tcPr>
            <w:tcW w:w="1872" w:type="dxa"/>
            <w:tcBorders>
              <w:top w:val="nil"/>
              <w:left w:val="nil"/>
              <w:bottom w:val="single" w:sz="4" w:space="0" w:color="auto"/>
              <w:right w:val="single" w:sz="4" w:space="0" w:color="auto"/>
            </w:tcBorders>
            <w:shd w:val="clear" w:color="auto" w:fill="auto"/>
            <w:noWrap/>
            <w:vAlign w:val="bottom"/>
            <w:hideMark/>
          </w:tcPr>
          <w:p w14:paraId="4E42DE93"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Coeckelenbergh</w:t>
            </w:r>
            <w:proofErr w:type="spellEnd"/>
          </w:p>
        </w:tc>
      </w:tr>
      <w:tr w:rsidR="004808B5" w:rsidRPr="004808B5" w14:paraId="17964D3E"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6492A4D" w14:textId="77777777" w:rsidR="004808B5" w:rsidRPr="004808B5" w:rsidRDefault="004808B5" w:rsidP="004808B5">
            <w:pPr>
              <w:rPr>
                <w:rFonts w:ascii="Calibri" w:hAnsi="Calibri" w:cs="Calibri"/>
                <w:color w:val="000000"/>
              </w:rPr>
            </w:pPr>
            <w:r w:rsidRPr="004808B5">
              <w:rPr>
                <w:rFonts w:ascii="Calibri" w:hAnsi="Calibri" w:cs="Calibri"/>
                <w:color w:val="000000"/>
              </w:rPr>
              <w:t>Mitsubishi Electric</w:t>
            </w:r>
          </w:p>
        </w:tc>
        <w:tc>
          <w:tcPr>
            <w:tcW w:w="1112" w:type="dxa"/>
            <w:tcBorders>
              <w:top w:val="nil"/>
              <w:left w:val="nil"/>
              <w:bottom w:val="single" w:sz="4" w:space="0" w:color="auto"/>
              <w:right w:val="single" w:sz="4" w:space="0" w:color="auto"/>
            </w:tcBorders>
            <w:shd w:val="clear" w:color="auto" w:fill="auto"/>
            <w:noWrap/>
            <w:vAlign w:val="bottom"/>
            <w:hideMark/>
          </w:tcPr>
          <w:p w14:paraId="0FE89555" w14:textId="77777777" w:rsidR="004808B5" w:rsidRPr="004808B5" w:rsidRDefault="004808B5" w:rsidP="004808B5">
            <w:pPr>
              <w:rPr>
                <w:rFonts w:ascii="Calibri" w:hAnsi="Calibri" w:cs="Calibri"/>
                <w:color w:val="000000"/>
              </w:rPr>
            </w:pPr>
            <w:r w:rsidRPr="004808B5">
              <w:rPr>
                <w:rFonts w:ascii="Calibri" w:hAnsi="Calibri" w:cs="Calibri"/>
                <w:color w:val="000000"/>
              </w:rPr>
              <w:t>Sam</w:t>
            </w:r>
          </w:p>
        </w:tc>
        <w:tc>
          <w:tcPr>
            <w:tcW w:w="1872" w:type="dxa"/>
            <w:tcBorders>
              <w:top w:val="nil"/>
              <w:left w:val="nil"/>
              <w:bottom w:val="single" w:sz="4" w:space="0" w:color="auto"/>
              <w:right w:val="single" w:sz="4" w:space="0" w:color="auto"/>
            </w:tcBorders>
            <w:shd w:val="clear" w:color="auto" w:fill="auto"/>
            <w:noWrap/>
            <w:vAlign w:val="bottom"/>
            <w:hideMark/>
          </w:tcPr>
          <w:p w14:paraId="68B58AAF" w14:textId="77777777" w:rsidR="004808B5" w:rsidRPr="004808B5" w:rsidRDefault="004808B5" w:rsidP="004808B5">
            <w:pPr>
              <w:rPr>
                <w:rFonts w:ascii="Calibri" w:hAnsi="Calibri" w:cs="Calibri"/>
                <w:color w:val="000000"/>
              </w:rPr>
            </w:pPr>
            <w:r w:rsidRPr="004808B5">
              <w:rPr>
                <w:rFonts w:ascii="Calibri" w:hAnsi="Calibri" w:cs="Calibri"/>
                <w:color w:val="000000"/>
              </w:rPr>
              <w:t>Beeson</w:t>
            </w:r>
          </w:p>
        </w:tc>
      </w:tr>
      <w:tr w:rsidR="004808B5" w:rsidRPr="004808B5" w14:paraId="5F81F772"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C1E0C0D" w14:textId="77777777" w:rsidR="004808B5" w:rsidRPr="004808B5" w:rsidRDefault="004808B5" w:rsidP="004808B5">
            <w:pPr>
              <w:rPr>
                <w:rFonts w:ascii="Calibri" w:hAnsi="Calibri" w:cs="Calibri"/>
                <w:color w:val="000000"/>
              </w:rPr>
            </w:pPr>
            <w:r w:rsidRPr="004808B5">
              <w:rPr>
                <w:rFonts w:ascii="Calibri" w:hAnsi="Calibri" w:cs="Calibri"/>
                <w:color w:val="000000"/>
              </w:rPr>
              <w:t>NEEA</w:t>
            </w:r>
          </w:p>
        </w:tc>
        <w:tc>
          <w:tcPr>
            <w:tcW w:w="1112" w:type="dxa"/>
            <w:tcBorders>
              <w:top w:val="nil"/>
              <w:left w:val="nil"/>
              <w:bottom w:val="single" w:sz="4" w:space="0" w:color="auto"/>
              <w:right w:val="single" w:sz="4" w:space="0" w:color="auto"/>
            </w:tcBorders>
            <w:shd w:val="clear" w:color="auto" w:fill="auto"/>
            <w:noWrap/>
            <w:vAlign w:val="bottom"/>
            <w:hideMark/>
          </w:tcPr>
          <w:p w14:paraId="27C14855" w14:textId="77777777" w:rsidR="004808B5" w:rsidRPr="004808B5" w:rsidRDefault="004808B5" w:rsidP="004808B5">
            <w:pPr>
              <w:rPr>
                <w:rFonts w:ascii="Calibri" w:hAnsi="Calibri" w:cs="Calibri"/>
                <w:color w:val="000000"/>
              </w:rPr>
            </w:pPr>
            <w:r w:rsidRPr="004808B5">
              <w:rPr>
                <w:rFonts w:ascii="Calibri" w:hAnsi="Calibri" w:cs="Calibri"/>
                <w:color w:val="000000"/>
              </w:rPr>
              <w:t>Ryan</w:t>
            </w:r>
          </w:p>
        </w:tc>
        <w:tc>
          <w:tcPr>
            <w:tcW w:w="1872" w:type="dxa"/>
            <w:tcBorders>
              <w:top w:val="nil"/>
              <w:left w:val="nil"/>
              <w:bottom w:val="single" w:sz="4" w:space="0" w:color="auto"/>
              <w:right w:val="single" w:sz="4" w:space="0" w:color="auto"/>
            </w:tcBorders>
            <w:shd w:val="clear" w:color="auto" w:fill="auto"/>
            <w:noWrap/>
            <w:vAlign w:val="bottom"/>
            <w:hideMark/>
          </w:tcPr>
          <w:p w14:paraId="3D00B73A" w14:textId="77777777" w:rsidR="004808B5" w:rsidRPr="004808B5" w:rsidRDefault="004808B5" w:rsidP="004808B5">
            <w:pPr>
              <w:rPr>
                <w:rFonts w:ascii="Calibri" w:hAnsi="Calibri" w:cs="Calibri"/>
                <w:color w:val="000000"/>
              </w:rPr>
            </w:pPr>
            <w:r w:rsidRPr="004808B5">
              <w:rPr>
                <w:rFonts w:ascii="Calibri" w:hAnsi="Calibri" w:cs="Calibri"/>
                <w:color w:val="000000"/>
              </w:rPr>
              <w:t>Brown</w:t>
            </w:r>
          </w:p>
        </w:tc>
      </w:tr>
      <w:tr w:rsidR="004808B5" w:rsidRPr="004808B5" w14:paraId="743982B4"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17FEC647" w14:textId="77777777" w:rsidR="004808B5" w:rsidRPr="004808B5" w:rsidRDefault="004808B5" w:rsidP="004808B5">
            <w:pPr>
              <w:rPr>
                <w:rFonts w:ascii="Calibri" w:hAnsi="Calibri" w:cs="Calibri"/>
                <w:color w:val="000000"/>
              </w:rPr>
            </w:pPr>
            <w:r w:rsidRPr="004808B5">
              <w:rPr>
                <w:rFonts w:ascii="Calibri" w:hAnsi="Calibri" w:cs="Calibri"/>
                <w:color w:val="000000"/>
              </w:rPr>
              <w:t>NEEA</w:t>
            </w:r>
          </w:p>
        </w:tc>
        <w:tc>
          <w:tcPr>
            <w:tcW w:w="1112" w:type="dxa"/>
            <w:tcBorders>
              <w:top w:val="nil"/>
              <w:left w:val="nil"/>
              <w:bottom w:val="single" w:sz="4" w:space="0" w:color="auto"/>
              <w:right w:val="single" w:sz="4" w:space="0" w:color="auto"/>
            </w:tcBorders>
            <w:shd w:val="clear" w:color="auto" w:fill="auto"/>
            <w:noWrap/>
            <w:vAlign w:val="bottom"/>
            <w:hideMark/>
          </w:tcPr>
          <w:p w14:paraId="240960EB" w14:textId="77777777" w:rsidR="004808B5" w:rsidRPr="004808B5" w:rsidRDefault="004808B5" w:rsidP="004808B5">
            <w:pPr>
              <w:rPr>
                <w:rFonts w:ascii="Calibri" w:hAnsi="Calibri" w:cs="Calibri"/>
                <w:color w:val="000000"/>
              </w:rPr>
            </w:pPr>
            <w:r w:rsidRPr="004808B5">
              <w:rPr>
                <w:rFonts w:ascii="Calibri" w:hAnsi="Calibri" w:cs="Calibri"/>
                <w:color w:val="000000"/>
              </w:rPr>
              <w:t>Jonathan</w:t>
            </w:r>
          </w:p>
        </w:tc>
        <w:tc>
          <w:tcPr>
            <w:tcW w:w="1872" w:type="dxa"/>
            <w:tcBorders>
              <w:top w:val="nil"/>
              <w:left w:val="nil"/>
              <w:bottom w:val="single" w:sz="4" w:space="0" w:color="auto"/>
              <w:right w:val="single" w:sz="4" w:space="0" w:color="auto"/>
            </w:tcBorders>
            <w:shd w:val="clear" w:color="auto" w:fill="auto"/>
            <w:noWrap/>
            <w:vAlign w:val="bottom"/>
            <w:hideMark/>
          </w:tcPr>
          <w:p w14:paraId="16D7EA05"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Belais</w:t>
            </w:r>
            <w:proofErr w:type="spellEnd"/>
          </w:p>
        </w:tc>
      </w:tr>
      <w:tr w:rsidR="004808B5" w:rsidRPr="004808B5" w14:paraId="090B3EDF"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D5818C4" w14:textId="77777777" w:rsidR="004808B5" w:rsidRPr="004808B5" w:rsidRDefault="004808B5" w:rsidP="004808B5">
            <w:pPr>
              <w:rPr>
                <w:rFonts w:ascii="Calibri" w:hAnsi="Calibri" w:cs="Calibri"/>
                <w:color w:val="000000"/>
              </w:rPr>
            </w:pPr>
            <w:r w:rsidRPr="004808B5">
              <w:rPr>
                <w:rFonts w:ascii="Calibri" w:hAnsi="Calibri" w:cs="Calibri"/>
                <w:color w:val="000000"/>
              </w:rPr>
              <w:t xml:space="preserve">CAEECC </w:t>
            </w:r>
            <w:proofErr w:type="spellStart"/>
            <w:r w:rsidRPr="004808B5">
              <w:rPr>
                <w:rFonts w:ascii="Calibri" w:hAnsi="Calibri" w:cs="Calibri"/>
                <w:color w:val="000000"/>
              </w:rPr>
              <w:t>Faciliation</w:t>
            </w:r>
            <w:proofErr w:type="spellEnd"/>
            <w:r w:rsidRPr="004808B5">
              <w:rPr>
                <w:rFonts w:ascii="Calibri" w:hAnsi="Calibri" w:cs="Calibri"/>
                <w:color w:val="000000"/>
              </w:rPr>
              <w:t>/</w:t>
            </w:r>
            <w:proofErr w:type="spellStart"/>
            <w:r w:rsidRPr="004808B5">
              <w:rPr>
                <w:rFonts w:ascii="Calibri" w:hAnsi="Calibri" w:cs="Calibri"/>
                <w:color w:val="000000"/>
              </w:rPr>
              <w:t>Raab</w:t>
            </w:r>
            <w:proofErr w:type="spellEnd"/>
            <w:r w:rsidRPr="004808B5">
              <w:rPr>
                <w:rFonts w:ascii="Calibri" w:hAnsi="Calibri" w:cs="Calibri"/>
                <w:color w:val="000000"/>
              </w:rPr>
              <w:t xml:space="preserve"> Associates</w:t>
            </w:r>
          </w:p>
        </w:tc>
        <w:tc>
          <w:tcPr>
            <w:tcW w:w="1112" w:type="dxa"/>
            <w:tcBorders>
              <w:top w:val="nil"/>
              <w:left w:val="nil"/>
              <w:bottom w:val="single" w:sz="4" w:space="0" w:color="auto"/>
              <w:right w:val="single" w:sz="4" w:space="0" w:color="auto"/>
            </w:tcBorders>
            <w:shd w:val="clear" w:color="auto" w:fill="auto"/>
            <w:noWrap/>
            <w:vAlign w:val="bottom"/>
            <w:hideMark/>
          </w:tcPr>
          <w:p w14:paraId="17BB0E44" w14:textId="77777777" w:rsidR="004808B5" w:rsidRPr="004808B5" w:rsidRDefault="004808B5" w:rsidP="004808B5">
            <w:pPr>
              <w:rPr>
                <w:rFonts w:ascii="Calibri" w:hAnsi="Calibri" w:cs="Calibri"/>
                <w:color w:val="000000"/>
              </w:rPr>
            </w:pPr>
            <w:r w:rsidRPr="004808B5">
              <w:rPr>
                <w:rFonts w:ascii="Calibri" w:hAnsi="Calibri" w:cs="Calibri"/>
                <w:color w:val="000000"/>
              </w:rPr>
              <w:t>Jonathan</w:t>
            </w:r>
          </w:p>
        </w:tc>
        <w:tc>
          <w:tcPr>
            <w:tcW w:w="1872" w:type="dxa"/>
            <w:tcBorders>
              <w:top w:val="nil"/>
              <w:left w:val="nil"/>
              <w:bottom w:val="single" w:sz="4" w:space="0" w:color="auto"/>
              <w:right w:val="single" w:sz="4" w:space="0" w:color="auto"/>
            </w:tcBorders>
            <w:shd w:val="clear" w:color="auto" w:fill="auto"/>
            <w:noWrap/>
            <w:vAlign w:val="bottom"/>
            <w:hideMark/>
          </w:tcPr>
          <w:p w14:paraId="7E1F123A"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Raab</w:t>
            </w:r>
            <w:proofErr w:type="spellEnd"/>
          </w:p>
        </w:tc>
      </w:tr>
      <w:tr w:rsidR="004808B5" w:rsidRPr="004808B5" w14:paraId="648D8ED5"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0F77B7F9" w14:textId="77777777" w:rsidR="004808B5" w:rsidRPr="004808B5" w:rsidRDefault="004808B5" w:rsidP="004808B5">
            <w:pPr>
              <w:rPr>
                <w:rFonts w:ascii="Calibri" w:hAnsi="Calibri" w:cs="Calibri"/>
                <w:color w:val="000000"/>
              </w:rPr>
            </w:pPr>
            <w:r w:rsidRPr="004808B5">
              <w:rPr>
                <w:rFonts w:ascii="Calibri" w:hAnsi="Calibri" w:cs="Calibri"/>
                <w:color w:val="000000"/>
              </w:rPr>
              <w:t>Resource Innovations</w:t>
            </w:r>
          </w:p>
        </w:tc>
        <w:tc>
          <w:tcPr>
            <w:tcW w:w="1112" w:type="dxa"/>
            <w:tcBorders>
              <w:top w:val="nil"/>
              <w:left w:val="nil"/>
              <w:bottom w:val="single" w:sz="4" w:space="0" w:color="auto"/>
              <w:right w:val="single" w:sz="4" w:space="0" w:color="auto"/>
            </w:tcBorders>
            <w:shd w:val="clear" w:color="auto" w:fill="auto"/>
            <w:noWrap/>
            <w:vAlign w:val="bottom"/>
            <w:hideMark/>
          </w:tcPr>
          <w:p w14:paraId="7ED97F74" w14:textId="77777777" w:rsidR="004808B5" w:rsidRPr="004808B5" w:rsidRDefault="004808B5" w:rsidP="004808B5">
            <w:pPr>
              <w:rPr>
                <w:rFonts w:ascii="Calibri" w:hAnsi="Calibri" w:cs="Calibri"/>
                <w:color w:val="000000"/>
              </w:rPr>
            </w:pPr>
            <w:r w:rsidRPr="004808B5">
              <w:rPr>
                <w:rFonts w:ascii="Calibri" w:hAnsi="Calibri" w:cs="Calibri"/>
                <w:color w:val="000000"/>
              </w:rPr>
              <w:t>Lauren</w:t>
            </w:r>
          </w:p>
        </w:tc>
        <w:tc>
          <w:tcPr>
            <w:tcW w:w="1872" w:type="dxa"/>
            <w:tcBorders>
              <w:top w:val="nil"/>
              <w:left w:val="nil"/>
              <w:bottom w:val="single" w:sz="4" w:space="0" w:color="auto"/>
              <w:right w:val="single" w:sz="4" w:space="0" w:color="auto"/>
            </w:tcBorders>
            <w:shd w:val="clear" w:color="auto" w:fill="auto"/>
            <w:noWrap/>
            <w:vAlign w:val="bottom"/>
            <w:hideMark/>
          </w:tcPr>
          <w:p w14:paraId="78FB8796"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Casentini</w:t>
            </w:r>
            <w:proofErr w:type="spellEnd"/>
          </w:p>
        </w:tc>
      </w:tr>
      <w:tr w:rsidR="004808B5" w:rsidRPr="004808B5" w14:paraId="13DC063E"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25AD7FA3" w14:textId="77777777" w:rsidR="004808B5" w:rsidRPr="004808B5" w:rsidRDefault="004808B5" w:rsidP="004808B5">
            <w:pPr>
              <w:rPr>
                <w:rFonts w:ascii="Calibri" w:hAnsi="Calibri" w:cs="Calibri"/>
                <w:color w:val="000000"/>
              </w:rPr>
            </w:pPr>
            <w:r w:rsidRPr="004808B5">
              <w:rPr>
                <w:rFonts w:ascii="Calibri" w:hAnsi="Calibri" w:cs="Calibri"/>
                <w:color w:val="000000"/>
              </w:rPr>
              <w:t>Resource Innovations</w:t>
            </w:r>
          </w:p>
        </w:tc>
        <w:tc>
          <w:tcPr>
            <w:tcW w:w="1112" w:type="dxa"/>
            <w:tcBorders>
              <w:top w:val="nil"/>
              <w:left w:val="nil"/>
              <w:bottom w:val="single" w:sz="4" w:space="0" w:color="auto"/>
              <w:right w:val="single" w:sz="4" w:space="0" w:color="auto"/>
            </w:tcBorders>
            <w:shd w:val="clear" w:color="auto" w:fill="auto"/>
            <w:noWrap/>
            <w:vAlign w:val="bottom"/>
            <w:hideMark/>
          </w:tcPr>
          <w:p w14:paraId="0C06462B" w14:textId="77777777" w:rsidR="004808B5" w:rsidRPr="004808B5" w:rsidRDefault="004808B5" w:rsidP="004808B5">
            <w:pPr>
              <w:rPr>
                <w:rFonts w:ascii="Calibri" w:hAnsi="Calibri" w:cs="Calibri"/>
                <w:color w:val="000000"/>
              </w:rPr>
            </w:pPr>
            <w:r w:rsidRPr="004808B5">
              <w:rPr>
                <w:rFonts w:ascii="Calibri" w:hAnsi="Calibri" w:cs="Calibri"/>
                <w:color w:val="000000"/>
              </w:rPr>
              <w:t>Shaun</w:t>
            </w:r>
          </w:p>
        </w:tc>
        <w:tc>
          <w:tcPr>
            <w:tcW w:w="1872" w:type="dxa"/>
            <w:tcBorders>
              <w:top w:val="nil"/>
              <w:left w:val="nil"/>
              <w:bottom w:val="single" w:sz="4" w:space="0" w:color="auto"/>
              <w:right w:val="single" w:sz="4" w:space="0" w:color="auto"/>
            </w:tcBorders>
            <w:shd w:val="clear" w:color="auto" w:fill="auto"/>
            <w:noWrap/>
            <w:vAlign w:val="bottom"/>
            <w:hideMark/>
          </w:tcPr>
          <w:p w14:paraId="67BE8AB4"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Dentice</w:t>
            </w:r>
            <w:proofErr w:type="spellEnd"/>
          </w:p>
        </w:tc>
      </w:tr>
      <w:tr w:rsidR="004808B5" w:rsidRPr="004808B5" w14:paraId="041139A2"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7AE82CBF" w14:textId="77777777" w:rsidR="004808B5" w:rsidRPr="004808B5" w:rsidRDefault="004808B5" w:rsidP="004808B5">
            <w:pPr>
              <w:rPr>
                <w:rFonts w:ascii="Calibri" w:hAnsi="Calibri" w:cs="Calibri"/>
                <w:color w:val="000000"/>
              </w:rPr>
            </w:pPr>
            <w:r w:rsidRPr="004808B5">
              <w:rPr>
                <w:rFonts w:ascii="Calibri" w:hAnsi="Calibri" w:cs="Calibri"/>
                <w:color w:val="000000"/>
              </w:rPr>
              <w:t>SDG&amp;E</w:t>
            </w:r>
          </w:p>
        </w:tc>
        <w:tc>
          <w:tcPr>
            <w:tcW w:w="1112" w:type="dxa"/>
            <w:tcBorders>
              <w:top w:val="nil"/>
              <w:left w:val="nil"/>
              <w:bottom w:val="single" w:sz="4" w:space="0" w:color="auto"/>
              <w:right w:val="single" w:sz="4" w:space="0" w:color="auto"/>
            </w:tcBorders>
            <w:shd w:val="clear" w:color="auto" w:fill="auto"/>
            <w:noWrap/>
            <w:vAlign w:val="bottom"/>
            <w:hideMark/>
          </w:tcPr>
          <w:p w14:paraId="38098C61" w14:textId="77777777" w:rsidR="004808B5" w:rsidRPr="004808B5" w:rsidRDefault="004808B5" w:rsidP="004808B5">
            <w:pPr>
              <w:rPr>
                <w:rFonts w:ascii="Calibri" w:hAnsi="Calibri" w:cs="Calibri"/>
                <w:color w:val="000000"/>
              </w:rPr>
            </w:pPr>
            <w:r w:rsidRPr="004808B5">
              <w:rPr>
                <w:rFonts w:ascii="Calibri" w:hAnsi="Calibri" w:cs="Calibri"/>
                <w:color w:val="000000"/>
              </w:rPr>
              <w:t>Kate</w:t>
            </w:r>
          </w:p>
        </w:tc>
        <w:tc>
          <w:tcPr>
            <w:tcW w:w="1872" w:type="dxa"/>
            <w:tcBorders>
              <w:top w:val="nil"/>
              <w:left w:val="nil"/>
              <w:bottom w:val="single" w:sz="4" w:space="0" w:color="auto"/>
              <w:right w:val="single" w:sz="4" w:space="0" w:color="auto"/>
            </w:tcBorders>
            <w:shd w:val="clear" w:color="auto" w:fill="auto"/>
            <w:noWrap/>
            <w:vAlign w:val="bottom"/>
            <w:hideMark/>
          </w:tcPr>
          <w:p w14:paraId="615B3BC7" w14:textId="77777777" w:rsidR="004808B5" w:rsidRPr="004808B5" w:rsidRDefault="004808B5" w:rsidP="004808B5">
            <w:pPr>
              <w:rPr>
                <w:rFonts w:ascii="Calibri" w:hAnsi="Calibri" w:cs="Calibri"/>
                <w:color w:val="000000"/>
              </w:rPr>
            </w:pPr>
            <w:r w:rsidRPr="004808B5">
              <w:rPr>
                <w:rFonts w:ascii="Calibri" w:hAnsi="Calibri" w:cs="Calibri"/>
                <w:color w:val="000000"/>
              </w:rPr>
              <w:t>Zeng</w:t>
            </w:r>
          </w:p>
        </w:tc>
      </w:tr>
      <w:tr w:rsidR="004808B5" w:rsidRPr="004808B5" w14:paraId="032C8AA4"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23DCA464" w14:textId="77777777" w:rsidR="004808B5" w:rsidRPr="004808B5" w:rsidRDefault="004808B5" w:rsidP="004808B5">
            <w:pPr>
              <w:rPr>
                <w:rFonts w:ascii="Calibri" w:hAnsi="Calibri" w:cs="Calibri"/>
                <w:color w:val="000000"/>
              </w:rPr>
            </w:pPr>
            <w:r w:rsidRPr="004808B5">
              <w:rPr>
                <w:rFonts w:ascii="Calibri" w:hAnsi="Calibri" w:cs="Calibri"/>
                <w:color w:val="000000"/>
              </w:rPr>
              <w:t>SCE</w:t>
            </w:r>
          </w:p>
        </w:tc>
        <w:tc>
          <w:tcPr>
            <w:tcW w:w="1112" w:type="dxa"/>
            <w:tcBorders>
              <w:top w:val="nil"/>
              <w:left w:val="nil"/>
              <w:bottom w:val="single" w:sz="4" w:space="0" w:color="auto"/>
              <w:right w:val="single" w:sz="4" w:space="0" w:color="auto"/>
            </w:tcBorders>
            <w:shd w:val="clear" w:color="auto" w:fill="auto"/>
            <w:noWrap/>
            <w:vAlign w:val="bottom"/>
            <w:hideMark/>
          </w:tcPr>
          <w:p w14:paraId="629B4E11" w14:textId="77777777" w:rsidR="004808B5" w:rsidRPr="004808B5" w:rsidRDefault="004808B5" w:rsidP="004808B5">
            <w:pPr>
              <w:rPr>
                <w:rFonts w:ascii="Calibri" w:hAnsi="Calibri" w:cs="Calibri"/>
                <w:color w:val="000000"/>
              </w:rPr>
            </w:pPr>
            <w:r w:rsidRPr="004808B5">
              <w:rPr>
                <w:rFonts w:ascii="Calibri" w:hAnsi="Calibri" w:cs="Calibri"/>
                <w:color w:val="000000"/>
              </w:rPr>
              <w:t>Derek</w:t>
            </w:r>
          </w:p>
        </w:tc>
        <w:tc>
          <w:tcPr>
            <w:tcW w:w="1872" w:type="dxa"/>
            <w:tcBorders>
              <w:top w:val="nil"/>
              <w:left w:val="nil"/>
              <w:bottom w:val="single" w:sz="4" w:space="0" w:color="auto"/>
              <w:right w:val="single" w:sz="4" w:space="0" w:color="auto"/>
            </w:tcBorders>
            <w:shd w:val="clear" w:color="auto" w:fill="auto"/>
            <w:noWrap/>
            <w:vAlign w:val="bottom"/>
            <w:hideMark/>
          </w:tcPr>
          <w:p w14:paraId="7B0ED5C9" w14:textId="77777777" w:rsidR="004808B5" w:rsidRPr="004808B5" w:rsidRDefault="004808B5" w:rsidP="004808B5">
            <w:pPr>
              <w:rPr>
                <w:rFonts w:ascii="Calibri" w:hAnsi="Calibri" w:cs="Calibri"/>
                <w:color w:val="000000"/>
              </w:rPr>
            </w:pPr>
            <w:r w:rsidRPr="004808B5">
              <w:rPr>
                <w:rFonts w:ascii="Calibri" w:hAnsi="Calibri" w:cs="Calibri"/>
                <w:color w:val="000000"/>
              </w:rPr>
              <w:t>Okada</w:t>
            </w:r>
          </w:p>
        </w:tc>
      </w:tr>
      <w:tr w:rsidR="004808B5" w:rsidRPr="004808B5" w14:paraId="3E3FF53A"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5ECF6A8D" w14:textId="77777777" w:rsidR="004808B5" w:rsidRPr="004808B5" w:rsidRDefault="004808B5" w:rsidP="004808B5">
            <w:pPr>
              <w:rPr>
                <w:rFonts w:ascii="Calibri" w:hAnsi="Calibri" w:cs="Calibri"/>
                <w:color w:val="000000"/>
              </w:rPr>
            </w:pPr>
            <w:r w:rsidRPr="004808B5">
              <w:rPr>
                <w:rFonts w:ascii="Calibri" w:hAnsi="Calibri" w:cs="Calibri"/>
                <w:color w:val="000000"/>
              </w:rPr>
              <w:t>Tyler &amp; Associates</w:t>
            </w:r>
          </w:p>
        </w:tc>
        <w:tc>
          <w:tcPr>
            <w:tcW w:w="1112" w:type="dxa"/>
            <w:tcBorders>
              <w:top w:val="nil"/>
              <w:left w:val="nil"/>
              <w:bottom w:val="single" w:sz="4" w:space="0" w:color="auto"/>
              <w:right w:val="single" w:sz="4" w:space="0" w:color="auto"/>
            </w:tcBorders>
            <w:shd w:val="clear" w:color="auto" w:fill="auto"/>
            <w:noWrap/>
            <w:vAlign w:val="bottom"/>
            <w:hideMark/>
          </w:tcPr>
          <w:p w14:paraId="56378D2C" w14:textId="77777777" w:rsidR="004808B5" w:rsidRPr="004808B5" w:rsidRDefault="004808B5" w:rsidP="004808B5">
            <w:pPr>
              <w:rPr>
                <w:rFonts w:ascii="Calibri" w:hAnsi="Calibri" w:cs="Calibri"/>
                <w:color w:val="000000"/>
              </w:rPr>
            </w:pPr>
            <w:r w:rsidRPr="004808B5">
              <w:rPr>
                <w:rFonts w:ascii="Calibri" w:hAnsi="Calibri" w:cs="Calibri"/>
                <w:color w:val="000000"/>
              </w:rPr>
              <w:t>Craig</w:t>
            </w:r>
          </w:p>
        </w:tc>
        <w:tc>
          <w:tcPr>
            <w:tcW w:w="1872" w:type="dxa"/>
            <w:tcBorders>
              <w:top w:val="nil"/>
              <w:left w:val="nil"/>
              <w:bottom w:val="single" w:sz="4" w:space="0" w:color="auto"/>
              <w:right w:val="single" w:sz="4" w:space="0" w:color="auto"/>
            </w:tcBorders>
            <w:shd w:val="clear" w:color="auto" w:fill="auto"/>
            <w:noWrap/>
            <w:vAlign w:val="bottom"/>
            <w:hideMark/>
          </w:tcPr>
          <w:p w14:paraId="2C2FBBAF" w14:textId="77777777" w:rsidR="004808B5" w:rsidRPr="004808B5" w:rsidRDefault="004808B5" w:rsidP="004808B5">
            <w:pPr>
              <w:rPr>
                <w:rFonts w:ascii="Calibri" w:hAnsi="Calibri" w:cs="Calibri"/>
                <w:color w:val="000000"/>
              </w:rPr>
            </w:pPr>
            <w:r w:rsidRPr="004808B5">
              <w:rPr>
                <w:rFonts w:ascii="Calibri" w:hAnsi="Calibri" w:cs="Calibri"/>
                <w:color w:val="000000"/>
              </w:rPr>
              <w:t>Tyler</w:t>
            </w:r>
          </w:p>
        </w:tc>
      </w:tr>
      <w:tr w:rsidR="004808B5" w:rsidRPr="004808B5" w14:paraId="173ADC4C"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36AF84F1" w14:textId="77777777" w:rsidR="004808B5" w:rsidRPr="004808B5" w:rsidRDefault="004808B5" w:rsidP="004808B5">
            <w:pPr>
              <w:rPr>
                <w:rFonts w:ascii="Calibri" w:hAnsi="Calibri" w:cs="Calibri"/>
                <w:color w:val="000000"/>
              </w:rPr>
            </w:pPr>
            <w:r w:rsidRPr="004808B5">
              <w:rPr>
                <w:rFonts w:ascii="Calibri" w:hAnsi="Calibri" w:cs="Calibri"/>
                <w:color w:val="000000"/>
              </w:rPr>
              <w:t>WRCOG</w:t>
            </w:r>
          </w:p>
        </w:tc>
        <w:tc>
          <w:tcPr>
            <w:tcW w:w="1112" w:type="dxa"/>
            <w:tcBorders>
              <w:top w:val="nil"/>
              <w:left w:val="nil"/>
              <w:bottom w:val="single" w:sz="4" w:space="0" w:color="auto"/>
              <w:right w:val="single" w:sz="4" w:space="0" w:color="auto"/>
            </w:tcBorders>
            <w:shd w:val="clear" w:color="auto" w:fill="auto"/>
            <w:noWrap/>
            <w:vAlign w:val="bottom"/>
            <w:hideMark/>
          </w:tcPr>
          <w:p w14:paraId="068BE759" w14:textId="77777777" w:rsidR="004808B5" w:rsidRPr="004808B5" w:rsidRDefault="004808B5" w:rsidP="004808B5">
            <w:pPr>
              <w:rPr>
                <w:rFonts w:ascii="Calibri" w:hAnsi="Calibri" w:cs="Calibri"/>
                <w:color w:val="000000"/>
              </w:rPr>
            </w:pPr>
            <w:r w:rsidRPr="004808B5">
              <w:rPr>
                <w:rFonts w:ascii="Calibri" w:hAnsi="Calibri" w:cs="Calibri"/>
                <w:color w:val="000000"/>
              </w:rPr>
              <w:t>Anthony</w:t>
            </w:r>
          </w:p>
        </w:tc>
        <w:tc>
          <w:tcPr>
            <w:tcW w:w="1872" w:type="dxa"/>
            <w:tcBorders>
              <w:top w:val="nil"/>
              <w:left w:val="nil"/>
              <w:bottom w:val="single" w:sz="4" w:space="0" w:color="auto"/>
              <w:right w:val="single" w:sz="4" w:space="0" w:color="auto"/>
            </w:tcBorders>
            <w:shd w:val="clear" w:color="auto" w:fill="auto"/>
            <w:noWrap/>
            <w:vAlign w:val="bottom"/>
            <w:hideMark/>
          </w:tcPr>
          <w:p w14:paraId="4036F3FC" w14:textId="77777777" w:rsidR="004808B5" w:rsidRPr="004808B5" w:rsidRDefault="004808B5" w:rsidP="004808B5">
            <w:pPr>
              <w:rPr>
                <w:rFonts w:ascii="Calibri" w:hAnsi="Calibri" w:cs="Calibri"/>
                <w:color w:val="000000"/>
              </w:rPr>
            </w:pPr>
            <w:r w:rsidRPr="004808B5">
              <w:rPr>
                <w:rFonts w:ascii="Calibri" w:hAnsi="Calibri" w:cs="Calibri"/>
                <w:color w:val="000000"/>
              </w:rPr>
              <w:t>Segura</w:t>
            </w:r>
          </w:p>
        </w:tc>
      </w:tr>
      <w:tr w:rsidR="004808B5" w:rsidRPr="004808B5" w14:paraId="0351BCAD" w14:textId="77777777" w:rsidTr="004808B5">
        <w:trPr>
          <w:trHeight w:val="320"/>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14:paraId="4822099B" w14:textId="77777777" w:rsidR="004808B5" w:rsidRPr="004808B5" w:rsidRDefault="004808B5" w:rsidP="004808B5">
            <w:pPr>
              <w:rPr>
                <w:rFonts w:ascii="Calibri" w:hAnsi="Calibri" w:cs="Calibri"/>
                <w:color w:val="000000"/>
              </w:rPr>
            </w:pPr>
            <w:proofErr w:type="spellStart"/>
            <w:r w:rsidRPr="004808B5">
              <w:rPr>
                <w:rFonts w:ascii="Calibri" w:hAnsi="Calibri" w:cs="Calibri"/>
                <w:color w:val="000000"/>
              </w:rPr>
              <w:t>Yinsight</w:t>
            </w:r>
            <w:proofErr w:type="spellEnd"/>
          </w:p>
        </w:tc>
        <w:tc>
          <w:tcPr>
            <w:tcW w:w="1112" w:type="dxa"/>
            <w:tcBorders>
              <w:top w:val="nil"/>
              <w:left w:val="nil"/>
              <w:bottom w:val="single" w:sz="4" w:space="0" w:color="auto"/>
              <w:right w:val="single" w:sz="4" w:space="0" w:color="auto"/>
            </w:tcBorders>
            <w:shd w:val="clear" w:color="auto" w:fill="auto"/>
            <w:noWrap/>
            <w:vAlign w:val="bottom"/>
            <w:hideMark/>
          </w:tcPr>
          <w:p w14:paraId="5CD74969" w14:textId="77777777" w:rsidR="004808B5" w:rsidRPr="004808B5" w:rsidRDefault="004808B5" w:rsidP="004808B5">
            <w:pPr>
              <w:rPr>
                <w:rFonts w:ascii="Calibri" w:hAnsi="Calibri" w:cs="Calibri"/>
                <w:color w:val="000000"/>
              </w:rPr>
            </w:pPr>
            <w:r w:rsidRPr="004808B5">
              <w:rPr>
                <w:rFonts w:ascii="Calibri" w:hAnsi="Calibri" w:cs="Calibri"/>
                <w:color w:val="000000"/>
              </w:rPr>
              <w:t>Carol</w:t>
            </w:r>
          </w:p>
        </w:tc>
        <w:tc>
          <w:tcPr>
            <w:tcW w:w="1872" w:type="dxa"/>
            <w:tcBorders>
              <w:top w:val="nil"/>
              <w:left w:val="nil"/>
              <w:bottom w:val="single" w:sz="4" w:space="0" w:color="auto"/>
              <w:right w:val="single" w:sz="4" w:space="0" w:color="auto"/>
            </w:tcBorders>
            <w:shd w:val="clear" w:color="auto" w:fill="auto"/>
            <w:noWrap/>
            <w:vAlign w:val="bottom"/>
            <w:hideMark/>
          </w:tcPr>
          <w:p w14:paraId="4A2833A2" w14:textId="77777777" w:rsidR="004808B5" w:rsidRPr="004808B5" w:rsidRDefault="004808B5" w:rsidP="004808B5">
            <w:pPr>
              <w:rPr>
                <w:rFonts w:ascii="Calibri" w:hAnsi="Calibri" w:cs="Calibri"/>
                <w:color w:val="000000"/>
              </w:rPr>
            </w:pPr>
            <w:r w:rsidRPr="004808B5">
              <w:rPr>
                <w:rFonts w:ascii="Calibri" w:hAnsi="Calibri" w:cs="Calibri"/>
                <w:color w:val="000000"/>
              </w:rPr>
              <w:t>Yin</w:t>
            </w:r>
          </w:p>
        </w:tc>
      </w:tr>
    </w:tbl>
    <w:p w14:paraId="70DA1793" w14:textId="77777777" w:rsidR="00652CE7" w:rsidRDefault="00652CE7" w:rsidP="004808B5">
      <w:pPr>
        <w:jc w:val="center"/>
        <w:rPr>
          <w:b/>
          <w:bCs/>
        </w:rPr>
      </w:pPr>
    </w:p>
    <w:p w14:paraId="79C74455" w14:textId="77777777" w:rsidR="00652CE7" w:rsidRDefault="00652CE7" w:rsidP="00652CE7">
      <w:pPr>
        <w:rPr>
          <w:b/>
          <w:bCs/>
        </w:rPr>
      </w:pPr>
    </w:p>
    <w:p w14:paraId="6C955A4D" w14:textId="77777777" w:rsidR="00652CE7" w:rsidRDefault="00652CE7" w:rsidP="00652CE7"/>
    <w:p w14:paraId="2D9DAD0E" w14:textId="38B62BB1" w:rsidR="00B93358" w:rsidRDefault="00B93358"/>
    <w:sectPr w:rsidR="00B93358" w:rsidSect="00A546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7E02B" w14:textId="77777777" w:rsidR="00FE18ED" w:rsidRDefault="00FE18ED" w:rsidP="00393C43">
      <w:r>
        <w:separator/>
      </w:r>
    </w:p>
  </w:endnote>
  <w:endnote w:type="continuationSeparator" w:id="0">
    <w:p w14:paraId="179070DF" w14:textId="77777777" w:rsidR="00FE18ED" w:rsidRDefault="00FE18ED" w:rsidP="0039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Arial (Body CS)">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985253"/>
      <w:docPartObj>
        <w:docPartGallery w:val="Page Numbers (Bottom of Page)"/>
        <w:docPartUnique/>
      </w:docPartObj>
    </w:sdtPr>
    <w:sdtEndPr>
      <w:rPr>
        <w:rStyle w:val="PageNumber"/>
      </w:rPr>
    </w:sdtEndPr>
    <w:sdtContent>
      <w:p w14:paraId="09F217E9" w14:textId="3E00E188" w:rsidR="00EA78A6" w:rsidRDefault="00EA78A6" w:rsidP="00EA7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97D21" w14:textId="77777777" w:rsidR="00EA78A6" w:rsidRDefault="00EA78A6" w:rsidP="00393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772189"/>
      <w:docPartObj>
        <w:docPartGallery w:val="Page Numbers (Bottom of Page)"/>
        <w:docPartUnique/>
      </w:docPartObj>
    </w:sdtPr>
    <w:sdtEndPr>
      <w:rPr>
        <w:rStyle w:val="PageNumber"/>
      </w:rPr>
    </w:sdtEndPr>
    <w:sdtContent>
      <w:p w14:paraId="1979327C" w14:textId="51E348BA" w:rsidR="00EA78A6" w:rsidRDefault="00EA78A6" w:rsidP="00EA7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C40B554" w14:textId="77777777" w:rsidR="00EA78A6" w:rsidRDefault="00EA78A6" w:rsidP="00393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A48E" w14:textId="77777777" w:rsidR="00FE18ED" w:rsidRDefault="00FE18ED" w:rsidP="00393C43">
      <w:r>
        <w:separator/>
      </w:r>
    </w:p>
  </w:footnote>
  <w:footnote w:type="continuationSeparator" w:id="0">
    <w:p w14:paraId="66141D25" w14:textId="77777777" w:rsidR="00FE18ED" w:rsidRDefault="00FE18ED" w:rsidP="0039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5F3"/>
    <w:multiLevelType w:val="hybridMultilevel"/>
    <w:tmpl w:val="D7DA413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3CA6A4F"/>
    <w:multiLevelType w:val="hybridMultilevel"/>
    <w:tmpl w:val="6AE2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553D0"/>
    <w:multiLevelType w:val="hybridMultilevel"/>
    <w:tmpl w:val="383C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158BA"/>
    <w:multiLevelType w:val="hybridMultilevel"/>
    <w:tmpl w:val="2CE0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57321"/>
    <w:multiLevelType w:val="hybridMultilevel"/>
    <w:tmpl w:val="8B6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066D8"/>
    <w:multiLevelType w:val="hybridMultilevel"/>
    <w:tmpl w:val="97E25BB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67D22E9"/>
    <w:multiLevelType w:val="hybridMultilevel"/>
    <w:tmpl w:val="01628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8F7DC2"/>
    <w:multiLevelType w:val="hybridMultilevel"/>
    <w:tmpl w:val="E59E9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E6D14"/>
    <w:multiLevelType w:val="hybridMultilevel"/>
    <w:tmpl w:val="E306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81B90"/>
    <w:multiLevelType w:val="hybridMultilevel"/>
    <w:tmpl w:val="2274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10EA0"/>
    <w:multiLevelType w:val="hybridMultilevel"/>
    <w:tmpl w:val="7E0AC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13DBB"/>
    <w:multiLevelType w:val="hybridMultilevel"/>
    <w:tmpl w:val="E5CA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D7C81"/>
    <w:multiLevelType w:val="hybridMultilevel"/>
    <w:tmpl w:val="429CBDB4"/>
    <w:lvl w:ilvl="0" w:tplc="04090003">
      <w:start w:val="1"/>
      <w:numFmt w:val="bullet"/>
      <w:lvlText w:val="o"/>
      <w:lvlJc w:val="left"/>
      <w:pPr>
        <w:ind w:left="769" w:hanging="360"/>
      </w:pPr>
      <w:rPr>
        <w:rFonts w:ascii="Courier New" w:hAnsi="Courier New" w:cs="Courier New"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61664049"/>
    <w:multiLevelType w:val="hybridMultilevel"/>
    <w:tmpl w:val="0052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7F20CD"/>
    <w:multiLevelType w:val="hybridMultilevel"/>
    <w:tmpl w:val="006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A2AE6"/>
    <w:multiLevelType w:val="hybridMultilevel"/>
    <w:tmpl w:val="F78E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774B1"/>
    <w:multiLevelType w:val="hybridMultilevel"/>
    <w:tmpl w:val="9D380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D4AB2"/>
    <w:multiLevelType w:val="hybridMultilevel"/>
    <w:tmpl w:val="AD7E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235D8"/>
    <w:multiLevelType w:val="hybridMultilevel"/>
    <w:tmpl w:val="B704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C2DFA"/>
    <w:multiLevelType w:val="hybridMultilevel"/>
    <w:tmpl w:val="0A3C0B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18"/>
  </w:num>
  <w:num w:numId="6">
    <w:abstractNumId w:val="14"/>
  </w:num>
  <w:num w:numId="7">
    <w:abstractNumId w:val="15"/>
  </w:num>
  <w:num w:numId="8">
    <w:abstractNumId w:val="2"/>
  </w:num>
  <w:num w:numId="9">
    <w:abstractNumId w:val="12"/>
  </w:num>
  <w:num w:numId="10">
    <w:abstractNumId w:val="5"/>
  </w:num>
  <w:num w:numId="11">
    <w:abstractNumId w:val="10"/>
  </w:num>
  <w:num w:numId="12">
    <w:abstractNumId w:val="16"/>
  </w:num>
  <w:num w:numId="13">
    <w:abstractNumId w:val="7"/>
  </w:num>
  <w:num w:numId="14">
    <w:abstractNumId w:val="19"/>
  </w:num>
  <w:num w:numId="15">
    <w:abstractNumId w:val="6"/>
  </w:num>
  <w:num w:numId="16">
    <w:abstractNumId w:val="13"/>
  </w:num>
  <w:num w:numId="17">
    <w:abstractNumId w:val="9"/>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E8"/>
    <w:rsid w:val="00000791"/>
    <w:rsid w:val="00010C1B"/>
    <w:rsid w:val="0001215F"/>
    <w:rsid w:val="00021EFE"/>
    <w:rsid w:val="0002200E"/>
    <w:rsid w:val="0005006C"/>
    <w:rsid w:val="000827F0"/>
    <w:rsid w:val="00086965"/>
    <w:rsid w:val="000A7C4E"/>
    <w:rsid w:val="000C25E6"/>
    <w:rsid w:val="00103953"/>
    <w:rsid w:val="001131FD"/>
    <w:rsid w:val="00122C56"/>
    <w:rsid w:val="001731D1"/>
    <w:rsid w:val="001949D6"/>
    <w:rsid w:val="001B04C3"/>
    <w:rsid w:val="001B7BB9"/>
    <w:rsid w:val="001C4900"/>
    <w:rsid w:val="001D3F4F"/>
    <w:rsid w:val="001E3D40"/>
    <w:rsid w:val="00207434"/>
    <w:rsid w:val="002105AE"/>
    <w:rsid w:val="00210EBC"/>
    <w:rsid w:val="00212431"/>
    <w:rsid w:val="00232E46"/>
    <w:rsid w:val="00244499"/>
    <w:rsid w:val="00247903"/>
    <w:rsid w:val="00265E82"/>
    <w:rsid w:val="0027300F"/>
    <w:rsid w:val="0028261E"/>
    <w:rsid w:val="00296FB6"/>
    <w:rsid w:val="002B1DD5"/>
    <w:rsid w:val="002C7C4E"/>
    <w:rsid w:val="00301803"/>
    <w:rsid w:val="003771DB"/>
    <w:rsid w:val="00381509"/>
    <w:rsid w:val="003913A4"/>
    <w:rsid w:val="00393C43"/>
    <w:rsid w:val="00393CF3"/>
    <w:rsid w:val="003C0F12"/>
    <w:rsid w:val="003C3DA7"/>
    <w:rsid w:val="003D0785"/>
    <w:rsid w:val="003D1634"/>
    <w:rsid w:val="003D6B30"/>
    <w:rsid w:val="003F43BF"/>
    <w:rsid w:val="003F4B48"/>
    <w:rsid w:val="003F52B6"/>
    <w:rsid w:val="0040579C"/>
    <w:rsid w:val="00426AB0"/>
    <w:rsid w:val="00431795"/>
    <w:rsid w:val="00434814"/>
    <w:rsid w:val="004808B5"/>
    <w:rsid w:val="004B6CA8"/>
    <w:rsid w:val="004C4F74"/>
    <w:rsid w:val="004C622F"/>
    <w:rsid w:val="004E4053"/>
    <w:rsid w:val="004F4FA6"/>
    <w:rsid w:val="0051204E"/>
    <w:rsid w:val="005178C9"/>
    <w:rsid w:val="00526362"/>
    <w:rsid w:val="00536472"/>
    <w:rsid w:val="00595444"/>
    <w:rsid w:val="00596122"/>
    <w:rsid w:val="005A7962"/>
    <w:rsid w:val="005B5A8C"/>
    <w:rsid w:val="005C0142"/>
    <w:rsid w:val="005C71EC"/>
    <w:rsid w:val="005D462B"/>
    <w:rsid w:val="005E424C"/>
    <w:rsid w:val="00604E70"/>
    <w:rsid w:val="00615B7E"/>
    <w:rsid w:val="0062555B"/>
    <w:rsid w:val="0063111B"/>
    <w:rsid w:val="006406D7"/>
    <w:rsid w:val="00652CE7"/>
    <w:rsid w:val="00654E0C"/>
    <w:rsid w:val="006649A3"/>
    <w:rsid w:val="00691617"/>
    <w:rsid w:val="006A0630"/>
    <w:rsid w:val="006A1FA6"/>
    <w:rsid w:val="006B4DA1"/>
    <w:rsid w:val="006B7831"/>
    <w:rsid w:val="006D0EA7"/>
    <w:rsid w:val="006E0690"/>
    <w:rsid w:val="006F1D2E"/>
    <w:rsid w:val="00704788"/>
    <w:rsid w:val="00706E59"/>
    <w:rsid w:val="00741E68"/>
    <w:rsid w:val="00744128"/>
    <w:rsid w:val="007531AF"/>
    <w:rsid w:val="007A7E62"/>
    <w:rsid w:val="007B1AB4"/>
    <w:rsid w:val="007B2341"/>
    <w:rsid w:val="00801A24"/>
    <w:rsid w:val="00814E89"/>
    <w:rsid w:val="00822E79"/>
    <w:rsid w:val="008335F1"/>
    <w:rsid w:val="008820F9"/>
    <w:rsid w:val="008B5481"/>
    <w:rsid w:val="008C7A5F"/>
    <w:rsid w:val="008D663C"/>
    <w:rsid w:val="008F4A4B"/>
    <w:rsid w:val="00904E7C"/>
    <w:rsid w:val="00916107"/>
    <w:rsid w:val="0092443E"/>
    <w:rsid w:val="009413E6"/>
    <w:rsid w:val="00952FFC"/>
    <w:rsid w:val="009552CA"/>
    <w:rsid w:val="00962C63"/>
    <w:rsid w:val="00994973"/>
    <w:rsid w:val="009D22D8"/>
    <w:rsid w:val="009F1032"/>
    <w:rsid w:val="00A36A29"/>
    <w:rsid w:val="00A546B5"/>
    <w:rsid w:val="00A548D8"/>
    <w:rsid w:val="00A649FE"/>
    <w:rsid w:val="00A773D3"/>
    <w:rsid w:val="00A91602"/>
    <w:rsid w:val="00A931BA"/>
    <w:rsid w:val="00AA0D53"/>
    <w:rsid w:val="00B450D2"/>
    <w:rsid w:val="00B6133C"/>
    <w:rsid w:val="00B631F1"/>
    <w:rsid w:val="00B64046"/>
    <w:rsid w:val="00B84ADB"/>
    <w:rsid w:val="00B93358"/>
    <w:rsid w:val="00B94C50"/>
    <w:rsid w:val="00BA1C49"/>
    <w:rsid w:val="00BA2086"/>
    <w:rsid w:val="00BB7D3A"/>
    <w:rsid w:val="00BC52AE"/>
    <w:rsid w:val="00BF475E"/>
    <w:rsid w:val="00BF626A"/>
    <w:rsid w:val="00C1118C"/>
    <w:rsid w:val="00C125A0"/>
    <w:rsid w:val="00C1549E"/>
    <w:rsid w:val="00C31071"/>
    <w:rsid w:val="00C3429E"/>
    <w:rsid w:val="00C5715F"/>
    <w:rsid w:val="00C864FF"/>
    <w:rsid w:val="00C91151"/>
    <w:rsid w:val="00D3618E"/>
    <w:rsid w:val="00DA1D5E"/>
    <w:rsid w:val="00DA5CE5"/>
    <w:rsid w:val="00DB54DF"/>
    <w:rsid w:val="00DD7EDF"/>
    <w:rsid w:val="00E04020"/>
    <w:rsid w:val="00E46B17"/>
    <w:rsid w:val="00E63D1E"/>
    <w:rsid w:val="00E66A0B"/>
    <w:rsid w:val="00E80B33"/>
    <w:rsid w:val="00E9171A"/>
    <w:rsid w:val="00EA78A6"/>
    <w:rsid w:val="00EC0155"/>
    <w:rsid w:val="00EC62E8"/>
    <w:rsid w:val="00ED1314"/>
    <w:rsid w:val="00ED2811"/>
    <w:rsid w:val="00EF30B5"/>
    <w:rsid w:val="00F03366"/>
    <w:rsid w:val="00F15005"/>
    <w:rsid w:val="00F6276B"/>
    <w:rsid w:val="00F97359"/>
    <w:rsid w:val="00FA5ACC"/>
    <w:rsid w:val="00FD364F"/>
    <w:rsid w:val="00FD49D9"/>
    <w:rsid w:val="00FE18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2E31"/>
  <w15:chartTrackingRefBased/>
  <w15:docId w15:val="{2D0B3356-B7F8-C24D-9824-62C3612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1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E8"/>
    <w:rPr>
      <w:color w:val="0563C1" w:themeColor="hyperlink"/>
      <w:u w:val="single"/>
    </w:rPr>
  </w:style>
  <w:style w:type="character" w:customStyle="1" w:styleId="UnresolvedMention1">
    <w:name w:val="Unresolved Mention1"/>
    <w:basedOn w:val="DefaultParagraphFont"/>
    <w:uiPriority w:val="99"/>
    <w:semiHidden/>
    <w:unhideWhenUsed/>
    <w:rsid w:val="00EC62E8"/>
    <w:rPr>
      <w:color w:val="605E5C"/>
      <w:shd w:val="clear" w:color="auto" w:fill="E1DFDD"/>
    </w:rPr>
  </w:style>
  <w:style w:type="paragraph" w:styleId="ListParagraph">
    <w:name w:val="List Paragraph"/>
    <w:basedOn w:val="Normal"/>
    <w:uiPriority w:val="34"/>
    <w:qFormat/>
    <w:rsid w:val="00A36A29"/>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0579C"/>
    <w:rPr>
      <w:rFonts w:eastAsiaTheme="minorEastAsia"/>
      <w:sz w:val="18"/>
      <w:szCs w:val="18"/>
    </w:rPr>
  </w:style>
  <w:style w:type="character" w:customStyle="1" w:styleId="BalloonTextChar">
    <w:name w:val="Balloon Text Char"/>
    <w:basedOn w:val="DefaultParagraphFont"/>
    <w:link w:val="BalloonText"/>
    <w:uiPriority w:val="99"/>
    <w:semiHidden/>
    <w:rsid w:val="0040579C"/>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393C4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93C43"/>
    <w:rPr>
      <w:rFonts w:eastAsiaTheme="minorEastAsia"/>
    </w:rPr>
  </w:style>
  <w:style w:type="character" w:styleId="PageNumber">
    <w:name w:val="page number"/>
    <w:basedOn w:val="DefaultParagraphFont"/>
    <w:uiPriority w:val="99"/>
    <w:semiHidden/>
    <w:unhideWhenUsed/>
    <w:rsid w:val="00393C43"/>
  </w:style>
  <w:style w:type="character" w:styleId="CommentReference">
    <w:name w:val="annotation reference"/>
    <w:basedOn w:val="DefaultParagraphFont"/>
    <w:uiPriority w:val="99"/>
    <w:semiHidden/>
    <w:unhideWhenUsed/>
    <w:rsid w:val="00244499"/>
    <w:rPr>
      <w:sz w:val="16"/>
      <w:szCs w:val="16"/>
    </w:rPr>
  </w:style>
  <w:style w:type="paragraph" w:styleId="CommentText">
    <w:name w:val="annotation text"/>
    <w:basedOn w:val="Normal"/>
    <w:link w:val="CommentTextChar"/>
    <w:uiPriority w:val="99"/>
    <w:semiHidden/>
    <w:unhideWhenUsed/>
    <w:rsid w:val="0024449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444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44499"/>
    <w:rPr>
      <w:b/>
      <w:bCs/>
    </w:rPr>
  </w:style>
  <w:style w:type="character" w:customStyle="1" w:styleId="CommentSubjectChar">
    <w:name w:val="Comment Subject Char"/>
    <w:basedOn w:val="CommentTextChar"/>
    <w:link w:val="CommentSubject"/>
    <w:uiPriority w:val="99"/>
    <w:semiHidden/>
    <w:rsid w:val="00244499"/>
    <w:rPr>
      <w:rFonts w:eastAsiaTheme="minorEastAsia"/>
      <w:b/>
      <w:bCs/>
      <w:sz w:val="20"/>
      <w:szCs w:val="20"/>
    </w:rPr>
  </w:style>
  <w:style w:type="character" w:styleId="UnresolvedMention">
    <w:name w:val="Unresolved Mention"/>
    <w:basedOn w:val="DefaultParagraphFont"/>
    <w:uiPriority w:val="99"/>
    <w:semiHidden/>
    <w:unhideWhenUsed/>
    <w:rsid w:val="003D6B30"/>
    <w:rPr>
      <w:color w:val="605E5C"/>
      <w:shd w:val="clear" w:color="auto" w:fill="E1DFDD"/>
    </w:rPr>
  </w:style>
  <w:style w:type="paragraph" w:styleId="Revision">
    <w:name w:val="Revision"/>
    <w:hidden/>
    <w:uiPriority w:val="99"/>
    <w:semiHidden/>
    <w:rsid w:val="005178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6653">
      <w:bodyDiv w:val="1"/>
      <w:marLeft w:val="0"/>
      <w:marRight w:val="0"/>
      <w:marTop w:val="0"/>
      <w:marBottom w:val="0"/>
      <w:divBdr>
        <w:top w:val="none" w:sz="0" w:space="0" w:color="auto"/>
        <w:left w:val="none" w:sz="0" w:space="0" w:color="auto"/>
        <w:bottom w:val="none" w:sz="0" w:space="0" w:color="auto"/>
        <w:right w:val="none" w:sz="0" w:space="0" w:color="auto"/>
      </w:divBdr>
    </w:div>
    <w:div w:id="112483358">
      <w:bodyDiv w:val="1"/>
      <w:marLeft w:val="0"/>
      <w:marRight w:val="0"/>
      <w:marTop w:val="0"/>
      <w:marBottom w:val="0"/>
      <w:divBdr>
        <w:top w:val="none" w:sz="0" w:space="0" w:color="auto"/>
        <w:left w:val="none" w:sz="0" w:space="0" w:color="auto"/>
        <w:bottom w:val="none" w:sz="0" w:space="0" w:color="auto"/>
        <w:right w:val="none" w:sz="0" w:space="0" w:color="auto"/>
      </w:divBdr>
    </w:div>
    <w:div w:id="333805734">
      <w:bodyDiv w:val="1"/>
      <w:marLeft w:val="0"/>
      <w:marRight w:val="0"/>
      <w:marTop w:val="0"/>
      <w:marBottom w:val="0"/>
      <w:divBdr>
        <w:top w:val="none" w:sz="0" w:space="0" w:color="auto"/>
        <w:left w:val="none" w:sz="0" w:space="0" w:color="auto"/>
        <w:bottom w:val="none" w:sz="0" w:space="0" w:color="auto"/>
        <w:right w:val="none" w:sz="0" w:space="0" w:color="auto"/>
      </w:divBdr>
    </w:div>
    <w:div w:id="382674542">
      <w:bodyDiv w:val="1"/>
      <w:marLeft w:val="0"/>
      <w:marRight w:val="0"/>
      <w:marTop w:val="0"/>
      <w:marBottom w:val="0"/>
      <w:divBdr>
        <w:top w:val="none" w:sz="0" w:space="0" w:color="auto"/>
        <w:left w:val="none" w:sz="0" w:space="0" w:color="auto"/>
        <w:bottom w:val="none" w:sz="0" w:space="0" w:color="auto"/>
        <w:right w:val="none" w:sz="0" w:space="0" w:color="auto"/>
      </w:divBdr>
    </w:div>
    <w:div w:id="385374553">
      <w:bodyDiv w:val="1"/>
      <w:marLeft w:val="0"/>
      <w:marRight w:val="0"/>
      <w:marTop w:val="0"/>
      <w:marBottom w:val="0"/>
      <w:divBdr>
        <w:top w:val="none" w:sz="0" w:space="0" w:color="auto"/>
        <w:left w:val="none" w:sz="0" w:space="0" w:color="auto"/>
        <w:bottom w:val="none" w:sz="0" w:space="0" w:color="auto"/>
        <w:right w:val="none" w:sz="0" w:space="0" w:color="auto"/>
      </w:divBdr>
    </w:div>
    <w:div w:id="405031300">
      <w:bodyDiv w:val="1"/>
      <w:marLeft w:val="0"/>
      <w:marRight w:val="0"/>
      <w:marTop w:val="0"/>
      <w:marBottom w:val="0"/>
      <w:divBdr>
        <w:top w:val="none" w:sz="0" w:space="0" w:color="auto"/>
        <w:left w:val="none" w:sz="0" w:space="0" w:color="auto"/>
        <w:bottom w:val="none" w:sz="0" w:space="0" w:color="auto"/>
        <w:right w:val="none" w:sz="0" w:space="0" w:color="auto"/>
      </w:divBdr>
    </w:div>
    <w:div w:id="556287337">
      <w:bodyDiv w:val="1"/>
      <w:marLeft w:val="0"/>
      <w:marRight w:val="0"/>
      <w:marTop w:val="0"/>
      <w:marBottom w:val="0"/>
      <w:divBdr>
        <w:top w:val="none" w:sz="0" w:space="0" w:color="auto"/>
        <w:left w:val="none" w:sz="0" w:space="0" w:color="auto"/>
        <w:bottom w:val="none" w:sz="0" w:space="0" w:color="auto"/>
        <w:right w:val="none" w:sz="0" w:space="0" w:color="auto"/>
      </w:divBdr>
    </w:div>
    <w:div w:id="557517620">
      <w:bodyDiv w:val="1"/>
      <w:marLeft w:val="0"/>
      <w:marRight w:val="0"/>
      <w:marTop w:val="0"/>
      <w:marBottom w:val="0"/>
      <w:divBdr>
        <w:top w:val="none" w:sz="0" w:space="0" w:color="auto"/>
        <w:left w:val="none" w:sz="0" w:space="0" w:color="auto"/>
        <w:bottom w:val="none" w:sz="0" w:space="0" w:color="auto"/>
        <w:right w:val="none" w:sz="0" w:space="0" w:color="auto"/>
      </w:divBdr>
    </w:div>
    <w:div w:id="569118680">
      <w:bodyDiv w:val="1"/>
      <w:marLeft w:val="0"/>
      <w:marRight w:val="0"/>
      <w:marTop w:val="0"/>
      <w:marBottom w:val="0"/>
      <w:divBdr>
        <w:top w:val="none" w:sz="0" w:space="0" w:color="auto"/>
        <w:left w:val="none" w:sz="0" w:space="0" w:color="auto"/>
        <w:bottom w:val="none" w:sz="0" w:space="0" w:color="auto"/>
        <w:right w:val="none" w:sz="0" w:space="0" w:color="auto"/>
      </w:divBdr>
    </w:div>
    <w:div w:id="589461395">
      <w:bodyDiv w:val="1"/>
      <w:marLeft w:val="0"/>
      <w:marRight w:val="0"/>
      <w:marTop w:val="0"/>
      <w:marBottom w:val="0"/>
      <w:divBdr>
        <w:top w:val="none" w:sz="0" w:space="0" w:color="auto"/>
        <w:left w:val="none" w:sz="0" w:space="0" w:color="auto"/>
        <w:bottom w:val="none" w:sz="0" w:space="0" w:color="auto"/>
        <w:right w:val="none" w:sz="0" w:space="0" w:color="auto"/>
      </w:divBdr>
    </w:div>
    <w:div w:id="663821119">
      <w:bodyDiv w:val="1"/>
      <w:marLeft w:val="0"/>
      <w:marRight w:val="0"/>
      <w:marTop w:val="0"/>
      <w:marBottom w:val="0"/>
      <w:divBdr>
        <w:top w:val="none" w:sz="0" w:space="0" w:color="auto"/>
        <w:left w:val="none" w:sz="0" w:space="0" w:color="auto"/>
        <w:bottom w:val="none" w:sz="0" w:space="0" w:color="auto"/>
        <w:right w:val="none" w:sz="0" w:space="0" w:color="auto"/>
      </w:divBdr>
    </w:div>
    <w:div w:id="712268280">
      <w:bodyDiv w:val="1"/>
      <w:marLeft w:val="0"/>
      <w:marRight w:val="0"/>
      <w:marTop w:val="0"/>
      <w:marBottom w:val="0"/>
      <w:divBdr>
        <w:top w:val="none" w:sz="0" w:space="0" w:color="auto"/>
        <w:left w:val="none" w:sz="0" w:space="0" w:color="auto"/>
        <w:bottom w:val="none" w:sz="0" w:space="0" w:color="auto"/>
        <w:right w:val="none" w:sz="0" w:space="0" w:color="auto"/>
      </w:divBdr>
    </w:div>
    <w:div w:id="987587397">
      <w:bodyDiv w:val="1"/>
      <w:marLeft w:val="0"/>
      <w:marRight w:val="0"/>
      <w:marTop w:val="0"/>
      <w:marBottom w:val="0"/>
      <w:divBdr>
        <w:top w:val="none" w:sz="0" w:space="0" w:color="auto"/>
        <w:left w:val="none" w:sz="0" w:space="0" w:color="auto"/>
        <w:bottom w:val="none" w:sz="0" w:space="0" w:color="auto"/>
        <w:right w:val="none" w:sz="0" w:space="0" w:color="auto"/>
      </w:divBdr>
    </w:div>
    <w:div w:id="1121145943">
      <w:bodyDiv w:val="1"/>
      <w:marLeft w:val="0"/>
      <w:marRight w:val="0"/>
      <w:marTop w:val="0"/>
      <w:marBottom w:val="0"/>
      <w:divBdr>
        <w:top w:val="none" w:sz="0" w:space="0" w:color="auto"/>
        <w:left w:val="none" w:sz="0" w:space="0" w:color="auto"/>
        <w:bottom w:val="none" w:sz="0" w:space="0" w:color="auto"/>
        <w:right w:val="none" w:sz="0" w:space="0" w:color="auto"/>
      </w:divBdr>
    </w:div>
    <w:div w:id="1220432723">
      <w:bodyDiv w:val="1"/>
      <w:marLeft w:val="0"/>
      <w:marRight w:val="0"/>
      <w:marTop w:val="0"/>
      <w:marBottom w:val="0"/>
      <w:divBdr>
        <w:top w:val="none" w:sz="0" w:space="0" w:color="auto"/>
        <w:left w:val="none" w:sz="0" w:space="0" w:color="auto"/>
        <w:bottom w:val="none" w:sz="0" w:space="0" w:color="auto"/>
        <w:right w:val="none" w:sz="0" w:space="0" w:color="auto"/>
      </w:divBdr>
    </w:div>
    <w:div w:id="1441415252">
      <w:bodyDiv w:val="1"/>
      <w:marLeft w:val="0"/>
      <w:marRight w:val="0"/>
      <w:marTop w:val="0"/>
      <w:marBottom w:val="0"/>
      <w:divBdr>
        <w:top w:val="none" w:sz="0" w:space="0" w:color="auto"/>
        <w:left w:val="none" w:sz="0" w:space="0" w:color="auto"/>
        <w:bottom w:val="none" w:sz="0" w:space="0" w:color="auto"/>
        <w:right w:val="none" w:sz="0" w:space="0" w:color="auto"/>
      </w:divBdr>
    </w:div>
    <w:div w:id="1463377615">
      <w:bodyDiv w:val="1"/>
      <w:marLeft w:val="0"/>
      <w:marRight w:val="0"/>
      <w:marTop w:val="0"/>
      <w:marBottom w:val="0"/>
      <w:divBdr>
        <w:top w:val="none" w:sz="0" w:space="0" w:color="auto"/>
        <w:left w:val="none" w:sz="0" w:space="0" w:color="auto"/>
        <w:bottom w:val="none" w:sz="0" w:space="0" w:color="auto"/>
        <w:right w:val="none" w:sz="0" w:space="0" w:color="auto"/>
      </w:divBdr>
    </w:div>
    <w:div w:id="1522669626">
      <w:bodyDiv w:val="1"/>
      <w:marLeft w:val="0"/>
      <w:marRight w:val="0"/>
      <w:marTop w:val="0"/>
      <w:marBottom w:val="0"/>
      <w:divBdr>
        <w:top w:val="none" w:sz="0" w:space="0" w:color="auto"/>
        <w:left w:val="none" w:sz="0" w:space="0" w:color="auto"/>
        <w:bottom w:val="none" w:sz="0" w:space="0" w:color="auto"/>
        <w:right w:val="none" w:sz="0" w:space="0" w:color="auto"/>
      </w:divBdr>
    </w:div>
    <w:div w:id="1574701946">
      <w:bodyDiv w:val="1"/>
      <w:marLeft w:val="0"/>
      <w:marRight w:val="0"/>
      <w:marTop w:val="0"/>
      <w:marBottom w:val="0"/>
      <w:divBdr>
        <w:top w:val="none" w:sz="0" w:space="0" w:color="auto"/>
        <w:left w:val="none" w:sz="0" w:space="0" w:color="auto"/>
        <w:bottom w:val="none" w:sz="0" w:space="0" w:color="auto"/>
        <w:right w:val="none" w:sz="0" w:space="0" w:color="auto"/>
      </w:divBdr>
    </w:div>
    <w:div w:id="1627929244">
      <w:bodyDiv w:val="1"/>
      <w:marLeft w:val="0"/>
      <w:marRight w:val="0"/>
      <w:marTop w:val="0"/>
      <w:marBottom w:val="0"/>
      <w:divBdr>
        <w:top w:val="none" w:sz="0" w:space="0" w:color="auto"/>
        <w:left w:val="none" w:sz="0" w:space="0" w:color="auto"/>
        <w:bottom w:val="none" w:sz="0" w:space="0" w:color="auto"/>
        <w:right w:val="none" w:sz="0" w:space="0" w:color="auto"/>
      </w:divBdr>
    </w:div>
    <w:div w:id="1683238206">
      <w:bodyDiv w:val="1"/>
      <w:marLeft w:val="0"/>
      <w:marRight w:val="0"/>
      <w:marTop w:val="0"/>
      <w:marBottom w:val="0"/>
      <w:divBdr>
        <w:top w:val="none" w:sz="0" w:space="0" w:color="auto"/>
        <w:left w:val="none" w:sz="0" w:space="0" w:color="auto"/>
        <w:bottom w:val="none" w:sz="0" w:space="0" w:color="auto"/>
        <w:right w:val="none" w:sz="0" w:space="0" w:color="auto"/>
      </w:divBdr>
    </w:div>
    <w:div w:id="1839341428">
      <w:bodyDiv w:val="1"/>
      <w:marLeft w:val="0"/>
      <w:marRight w:val="0"/>
      <w:marTop w:val="0"/>
      <w:marBottom w:val="0"/>
      <w:divBdr>
        <w:top w:val="none" w:sz="0" w:space="0" w:color="auto"/>
        <w:left w:val="none" w:sz="0" w:space="0" w:color="auto"/>
        <w:bottom w:val="none" w:sz="0" w:space="0" w:color="auto"/>
        <w:right w:val="none" w:sz="0" w:space="0" w:color="auto"/>
      </w:divBdr>
    </w:div>
    <w:div w:id="1867057288">
      <w:bodyDiv w:val="1"/>
      <w:marLeft w:val="0"/>
      <w:marRight w:val="0"/>
      <w:marTop w:val="0"/>
      <w:marBottom w:val="0"/>
      <w:divBdr>
        <w:top w:val="none" w:sz="0" w:space="0" w:color="auto"/>
        <w:left w:val="none" w:sz="0" w:space="0" w:color="auto"/>
        <w:bottom w:val="none" w:sz="0" w:space="0" w:color="auto"/>
        <w:right w:val="none" w:sz="0" w:space="0" w:color="auto"/>
      </w:divBdr>
    </w:div>
    <w:div w:id="1890071055">
      <w:bodyDiv w:val="1"/>
      <w:marLeft w:val="0"/>
      <w:marRight w:val="0"/>
      <w:marTop w:val="0"/>
      <w:marBottom w:val="0"/>
      <w:divBdr>
        <w:top w:val="none" w:sz="0" w:space="0" w:color="auto"/>
        <w:left w:val="none" w:sz="0" w:space="0" w:color="auto"/>
        <w:bottom w:val="none" w:sz="0" w:space="0" w:color="auto"/>
        <w:right w:val="none" w:sz="0" w:space="0" w:color="auto"/>
      </w:divBdr>
    </w:div>
    <w:div w:id="1947738258">
      <w:bodyDiv w:val="1"/>
      <w:marLeft w:val="0"/>
      <w:marRight w:val="0"/>
      <w:marTop w:val="0"/>
      <w:marBottom w:val="0"/>
      <w:divBdr>
        <w:top w:val="none" w:sz="0" w:space="0" w:color="auto"/>
        <w:left w:val="none" w:sz="0" w:space="0" w:color="auto"/>
        <w:bottom w:val="none" w:sz="0" w:space="0" w:color="auto"/>
        <w:right w:val="none" w:sz="0" w:space="0" w:color="auto"/>
      </w:divBdr>
    </w:div>
    <w:div w:id="2085641296">
      <w:bodyDiv w:val="1"/>
      <w:marLeft w:val="0"/>
      <w:marRight w:val="0"/>
      <w:marTop w:val="0"/>
      <w:marBottom w:val="0"/>
      <w:divBdr>
        <w:top w:val="none" w:sz="0" w:space="0" w:color="auto"/>
        <w:left w:val="none" w:sz="0" w:space="0" w:color="auto"/>
        <w:bottom w:val="none" w:sz="0" w:space="0" w:color="auto"/>
        <w:right w:val="none" w:sz="0" w:space="0" w:color="auto"/>
      </w:divBdr>
    </w:div>
    <w:div w:id="21327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mtwg-t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Meredith Cowart</cp:lastModifiedBy>
  <cp:revision>5</cp:revision>
  <dcterms:created xsi:type="dcterms:W3CDTF">2020-08-14T18:06:00Z</dcterms:created>
  <dcterms:modified xsi:type="dcterms:W3CDTF">2020-08-14T18:53:00Z</dcterms:modified>
</cp:coreProperties>
</file>