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F265A" w14:textId="31DF11B1" w:rsidR="00BD575B" w:rsidRDefault="00976A5B" w:rsidP="007A05AD">
      <w:pPr>
        <w:tabs>
          <w:tab w:val="left" w:pos="1700"/>
          <w:tab w:val="left" w:pos="3192"/>
          <w:tab w:val="left" w:pos="4792"/>
          <w:tab w:val="left" w:pos="6543"/>
          <w:tab w:val="left" w:pos="8182"/>
          <w:tab w:val="left" w:pos="10166"/>
          <w:tab w:val="left" w:pos="11632"/>
        </w:tabs>
        <w:ind w:left="206"/>
        <w:jc w:val="center"/>
        <w:outlineLvl w:val="0"/>
        <w:rPr>
          <w:rFonts w:ascii="Helvetica" w:eastAsia="Times New Roman" w:hAnsi="Helvetica" w:cs="Arial"/>
          <w:b/>
          <w:color w:val="000000"/>
          <w:sz w:val="28"/>
          <w:szCs w:val="18"/>
        </w:rPr>
      </w:pPr>
      <w:bookmarkStart w:id="0" w:name="_GoBack"/>
      <w:r w:rsidRPr="00976A5B">
        <w:rPr>
          <w:rFonts w:ascii="Helvetica" w:eastAsia="Times New Roman" w:hAnsi="Helvetica" w:cs="Arial"/>
          <w:b/>
          <w:color w:val="000000"/>
          <w:sz w:val="28"/>
          <w:szCs w:val="18"/>
        </w:rPr>
        <w:t xml:space="preserve">Metrics and Indicators </w:t>
      </w:r>
      <w:r>
        <w:rPr>
          <w:rFonts w:ascii="Helvetica" w:eastAsia="Times New Roman" w:hAnsi="Helvetica" w:cs="Arial"/>
          <w:b/>
          <w:color w:val="000000"/>
          <w:sz w:val="28"/>
          <w:szCs w:val="18"/>
        </w:rPr>
        <w:t xml:space="preserve">from </w:t>
      </w:r>
      <w:r w:rsidR="0099346F" w:rsidRPr="00976A5B">
        <w:rPr>
          <w:rFonts w:ascii="Helvetica" w:eastAsia="Times New Roman" w:hAnsi="Helvetica" w:cs="Arial"/>
          <w:b/>
          <w:color w:val="000000"/>
          <w:sz w:val="28"/>
          <w:szCs w:val="18"/>
        </w:rPr>
        <w:t>PD Attachment A</w:t>
      </w:r>
    </w:p>
    <w:bookmarkEnd w:id="0"/>
    <w:p w14:paraId="55B68845" w14:textId="77777777" w:rsidR="00A22135" w:rsidRPr="00976A5B" w:rsidRDefault="00A22135" w:rsidP="00BD575B">
      <w:pPr>
        <w:tabs>
          <w:tab w:val="left" w:pos="1700"/>
          <w:tab w:val="left" w:pos="3192"/>
          <w:tab w:val="left" w:pos="4792"/>
          <w:tab w:val="left" w:pos="6543"/>
          <w:tab w:val="left" w:pos="8182"/>
          <w:tab w:val="left" w:pos="10166"/>
          <w:tab w:val="left" w:pos="11632"/>
        </w:tabs>
        <w:ind w:left="206"/>
        <w:jc w:val="center"/>
        <w:rPr>
          <w:rFonts w:ascii="Helvetica" w:eastAsia="Times New Roman" w:hAnsi="Helvetica" w:cs="Arial"/>
          <w:color w:val="000000"/>
          <w:sz w:val="28"/>
          <w:szCs w:val="18"/>
        </w:rPr>
      </w:pPr>
    </w:p>
    <w:p w14:paraId="2C4F7F0A" w14:textId="2A6A92DA" w:rsidR="001D6D69" w:rsidRPr="00C2193B" w:rsidRDefault="000C7079" w:rsidP="000C7079">
      <w:pPr>
        <w:tabs>
          <w:tab w:val="left" w:pos="1700"/>
          <w:tab w:val="left" w:pos="3192"/>
          <w:tab w:val="left" w:pos="4792"/>
          <w:tab w:val="left" w:pos="6543"/>
          <w:tab w:val="left" w:pos="8182"/>
          <w:tab w:val="left" w:pos="10166"/>
          <w:tab w:val="left" w:pos="11632"/>
        </w:tabs>
        <w:ind w:left="206"/>
        <w:rPr>
          <w:rFonts w:ascii="Helvetica" w:eastAsia="Times New Roman" w:hAnsi="Helvetica" w:cs="Arial"/>
          <w:sz w:val="21"/>
          <w:szCs w:val="18"/>
        </w:rPr>
      </w:pPr>
      <w:r w:rsidRPr="00867FA7">
        <w:rPr>
          <w:rFonts w:ascii="Helvetica" w:eastAsia="Times New Roman" w:hAnsi="Helvetica" w:cs="Arial"/>
          <w:color w:val="000000"/>
          <w:sz w:val="21"/>
          <w:szCs w:val="18"/>
          <w:highlight w:val="yellow"/>
        </w:rPr>
        <w:t xml:space="preserve">Note: </w:t>
      </w:r>
      <w:r w:rsidR="0099346F" w:rsidRPr="00867FA7">
        <w:rPr>
          <w:rFonts w:ascii="Helvetica" w:eastAsia="Times New Roman" w:hAnsi="Helvetica" w:cs="Arial"/>
          <w:color w:val="000000"/>
          <w:sz w:val="21"/>
          <w:szCs w:val="18"/>
          <w:highlight w:val="yellow"/>
        </w:rPr>
        <w:t>Yellow highlight</w:t>
      </w:r>
      <w:r w:rsidR="00441053" w:rsidRPr="00867FA7">
        <w:rPr>
          <w:rFonts w:ascii="Helvetica" w:eastAsia="Times New Roman" w:hAnsi="Helvetica" w:cs="Arial"/>
          <w:color w:val="000000"/>
          <w:sz w:val="21"/>
          <w:szCs w:val="18"/>
          <w:highlight w:val="yellow"/>
        </w:rPr>
        <w:t>s</w:t>
      </w:r>
      <w:r w:rsidR="0099346F" w:rsidRPr="00867FA7">
        <w:rPr>
          <w:rFonts w:ascii="Helvetica" w:eastAsia="Times New Roman" w:hAnsi="Helvetica" w:cs="Arial"/>
          <w:color w:val="000000"/>
          <w:sz w:val="21"/>
          <w:szCs w:val="18"/>
          <w:highlight w:val="yellow"/>
        </w:rPr>
        <w:t xml:space="preserve"> indicate new metrics and </w:t>
      </w:r>
      <w:r w:rsidR="0099346F" w:rsidRPr="00867FA7">
        <w:rPr>
          <w:rFonts w:ascii="Helvetica" w:eastAsia="Times New Roman" w:hAnsi="Helvetica" w:cs="Arial"/>
          <w:sz w:val="21"/>
          <w:szCs w:val="18"/>
          <w:highlight w:val="yellow"/>
        </w:rPr>
        <w:t xml:space="preserve">indicators </w:t>
      </w:r>
      <w:r w:rsidR="0099346F" w:rsidRPr="00867FA7">
        <w:rPr>
          <w:rFonts w:ascii="Helvetica" w:eastAsia="Times New Roman" w:hAnsi="Helvetica" w:cs="Arial"/>
          <w:color w:val="000000"/>
          <w:sz w:val="21"/>
          <w:szCs w:val="18"/>
          <w:highlight w:val="yellow"/>
        </w:rPr>
        <w:t xml:space="preserve">that have not been publicly </w:t>
      </w:r>
      <w:r w:rsidR="00B90E5C" w:rsidRPr="00867FA7">
        <w:rPr>
          <w:rFonts w:ascii="Helvetica" w:eastAsia="Times New Roman" w:hAnsi="Helvetica" w:cs="Arial"/>
          <w:color w:val="000000"/>
          <w:sz w:val="21"/>
          <w:szCs w:val="18"/>
          <w:highlight w:val="yellow"/>
        </w:rPr>
        <w:t>discussed</w:t>
      </w:r>
      <w:r w:rsidR="0099346F" w:rsidRPr="00867FA7">
        <w:rPr>
          <w:rFonts w:ascii="Helvetica" w:eastAsia="Times New Roman" w:hAnsi="Helvetica" w:cs="Arial"/>
          <w:color w:val="000000"/>
          <w:sz w:val="21"/>
          <w:szCs w:val="18"/>
          <w:highlight w:val="yellow"/>
        </w:rPr>
        <w:t>.</w:t>
      </w:r>
      <w:r w:rsidR="00385620">
        <w:rPr>
          <w:rFonts w:ascii="Helvetica" w:eastAsia="Times New Roman" w:hAnsi="Helvetica" w:cs="Arial"/>
          <w:color w:val="000000"/>
          <w:sz w:val="21"/>
          <w:szCs w:val="18"/>
        </w:rPr>
        <w:t xml:space="preserve"> </w:t>
      </w:r>
      <w:r w:rsidR="00385620" w:rsidRPr="00FF068E">
        <w:rPr>
          <w:rFonts w:ascii="Helvetica" w:eastAsia="Times New Roman" w:hAnsi="Helvetica" w:cs="Arial"/>
          <w:color w:val="0070C0"/>
          <w:sz w:val="21"/>
          <w:szCs w:val="18"/>
        </w:rPr>
        <w:t>Blue text shows indicators</w:t>
      </w:r>
      <w:r w:rsidR="00385620" w:rsidRPr="00A22135">
        <w:rPr>
          <w:rFonts w:ascii="Helvetica" w:eastAsia="Times New Roman" w:hAnsi="Helvetica" w:cs="Arial"/>
          <w:color w:val="00B0F0"/>
          <w:sz w:val="21"/>
          <w:szCs w:val="18"/>
        </w:rPr>
        <w:t xml:space="preserve">. </w:t>
      </w:r>
      <w:r w:rsidR="00385620" w:rsidRPr="00A22135">
        <w:rPr>
          <w:rFonts w:ascii="Helvetica" w:eastAsia="Times New Roman" w:hAnsi="Helvetica" w:cs="Arial"/>
          <w:color w:val="FF0000"/>
          <w:sz w:val="21"/>
          <w:szCs w:val="18"/>
        </w:rPr>
        <w:t>Red text shows items filed by PAs as indicators but turned into metrics in the PD.</w:t>
      </w:r>
      <w:r w:rsidR="00CD2505">
        <w:rPr>
          <w:rFonts w:ascii="Helvetica" w:eastAsia="Times New Roman" w:hAnsi="Helvetica" w:cs="Arial"/>
          <w:color w:val="FF0000"/>
          <w:sz w:val="21"/>
          <w:szCs w:val="18"/>
        </w:rPr>
        <w:t xml:space="preserve"> </w:t>
      </w:r>
      <w:r w:rsidR="00CD2505" w:rsidRPr="00CD2505">
        <w:rPr>
          <w:rFonts w:ascii="Helvetica" w:eastAsia="Times New Roman" w:hAnsi="Helvetica" w:cs="Arial"/>
          <w:sz w:val="21"/>
          <w:szCs w:val="18"/>
          <w:shd w:val="clear" w:color="auto" w:fill="EAF1DD" w:themeFill="accent3" w:themeFillTint="33"/>
        </w:rPr>
        <w:t>Green cells indicate the new metrics for discussion at CAEECC June 6</w:t>
      </w:r>
      <w:r w:rsidR="00CD2505" w:rsidRPr="00CD2505">
        <w:rPr>
          <w:rFonts w:ascii="Helvetica" w:eastAsia="Times New Roman" w:hAnsi="Helvetica" w:cs="Arial"/>
          <w:sz w:val="21"/>
          <w:szCs w:val="18"/>
          <w:shd w:val="clear" w:color="auto" w:fill="EAF1DD" w:themeFill="accent3" w:themeFillTint="33"/>
          <w:vertAlign w:val="superscript"/>
        </w:rPr>
        <w:t>th</w:t>
      </w:r>
      <w:r w:rsidR="00CD2505" w:rsidRPr="00CD2505">
        <w:rPr>
          <w:rFonts w:ascii="Helvetica" w:eastAsia="Times New Roman" w:hAnsi="Helvetica" w:cs="Arial"/>
          <w:sz w:val="21"/>
          <w:szCs w:val="18"/>
          <w:shd w:val="clear" w:color="auto" w:fill="EAF1DD" w:themeFill="accent3" w:themeFillTint="33"/>
        </w:rPr>
        <w:t xml:space="preserve"> Meeting</w:t>
      </w:r>
    </w:p>
    <w:p w14:paraId="408E8D09" w14:textId="77777777" w:rsidR="0099346F" w:rsidRPr="00BE1AD1" w:rsidRDefault="0099346F" w:rsidP="00BD575B">
      <w:pPr>
        <w:tabs>
          <w:tab w:val="left" w:pos="1700"/>
          <w:tab w:val="left" w:pos="3192"/>
          <w:tab w:val="left" w:pos="4792"/>
          <w:tab w:val="left" w:pos="6543"/>
          <w:tab w:val="left" w:pos="8182"/>
          <w:tab w:val="left" w:pos="10166"/>
          <w:tab w:val="left" w:pos="11632"/>
        </w:tabs>
        <w:ind w:left="206"/>
        <w:jc w:val="center"/>
        <w:rPr>
          <w:rFonts w:ascii="Helvetica" w:eastAsia="Times New Roman" w:hAnsi="Helvetica" w:cs="Arial"/>
          <w:b/>
          <w:bCs/>
          <w:color w:val="000000"/>
          <w:sz w:val="18"/>
          <w:szCs w:val="18"/>
        </w:rPr>
      </w:pPr>
    </w:p>
    <w:tbl>
      <w:tblPr>
        <w:tblW w:w="128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1607"/>
        <w:gridCol w:w="1607"/>
        <w:gridCol w:w="1607"/>
        <w:gridCol w:w="1607"/>
        <w:gridCol w:w="1607"/>
        <w:gridCol w:w="1607"/>
        <w:gridCol w:w="1608"/>
      </w:tblGrid>
      <w:tr w:rsidR="00C00063" w:rsidRPr="00BE1AD1" w14:paraId="077C8A2B" w14:textId="77777777" w:rsidTr="00D30834">
        <w:trPr>
          <w:cantSplit/>
          <w:trHeight w:val="20"/>
          <w:tblHeader/>
        </w:trPr>
        <w:tc>
          <w:tcPr>
            <w:tcW w:w="1607" w:type="dxa"/>
            <w:shd w:val="clear" w:color="auto" w:fill="auto"/>
            <w:noWrap/>
            <w:vAlign w:val="bottom"/>
            <w:hideMark/>
          </w:tcPr>
          <w:p w14:paraId="5E6994AE" w14:textId="77777777" w:rsidR="00EC17AD" w:rsidRPr="00BE1AD1" w:rsidRDefault="00EC17AD" w:rsidP="0089630A">
            <w:pPr>
              <w:rPr>
                <w:rFonts w:ascii="Helvetica" w:eastAsia="Times New Roman" w:hAnsi="Helvetica" w:cs="Arial"/>
                <w:color w:val="000000"/>
                <w:sz w:val="18"/>
                <w:szCs w:val="18"/>
              </w:rPr>
            </w:pPr>
            <w:bookmarkStart w:id="1" w:name="RANGE!A1:H17"/>
            <w:r w:rsidRPr="00BE1AD1">
              <w:rPr>
                <w:rFonts w:ascii="Helvetica" w:eastAsia="Times New Roman" w:hAnsi="Helvetica" w:cs="Arial"/>
                <w:color w:val="000000"/>
                <w:sz w:val="18"/>
                <w:szCs w:val="18"/>
              </w:rPr>
              <w:t> </w:t>
            </w:r>
            <w:bookmarkEnd w:id="1"/>
          </w:p>
        </w:tc>
        <w:tc>
          <w:tcPr>
            <w:tcW w:w="1607" w:type="dxa"/>
            <w:shd w:val="clear" w:color="auto" w:fill="auto"/>
            <w:noWrap/>
            <w:vAlign w:val="center"/>
            <w:hideMark/>
          </w:tcPr>
          <w:p w14:paraId="1379B540" w14:textId="77777777" w:rsidR="00EC17AD" w:rsidRPr="00BE1AD1" w:rsidRDefault="00EC17AD" w:rsidP="0089630A">
            <w:pPr>
              <w:rPr>
                <w:rFonts w:ascii="Helvetica" w:eastAsia="Times New Roman" w:hAnsi="Helvetica" w:cs="Arial"/>
                <w:b/>
                <w:bCs/>
                <w:color w:val="000000"/>
                <w:sz w:val="18"/>
                <w:szCs w:val="18"/>
              </w:rPr>
            </w:pPr>
            <w:r w:rsidRPr="00BE1AD1">
              <w:rPr>
                <w:rFonts w:ascii="Helvetica" w:eastAsia="Times New Roman" w:hAnsi="Helvetica" w:cs="Arial"/>
                <w:b/>
                <w:bCs/>
                <w:color w:val="000000"/>
                <w:sz w:val="18"/>
                <w:szCs w:val="18"/>
              </w:rPr>
              <w:t>Portfolio Level – All Sectors</w:t>
            </w:r>
          </w:p>
        </w:tc>
        <w:tc>
          <w:tcPr>
            <w:tcW w:w="1607" w:type="dxa"/>
            <w:shd w:val="clear" w:color="auto" w:fill="auto"/>
            <w:vAlign w:val="center"/>
            <w:hideMark/>
          </w:tcPr>
          <w:p w14:paraId="3F2B0A27" w14:textId="77777777" w:rsidR="00EC17AD" w:rsidRPr="00BE1AD1" w:rsidRDefault="00EC17AD" w:rsidP="0089630A">
            <w:pPr>
              <w:rPr>
                <w:rFonts w:ascii="Helvetica" w:eastAsia="Times New Roman" w:hAnsi="Helvetica" w:cs="Arial"/>
                <w:color w:val="000000"/>
                <w:sz w:val="18"/>
                <w:szCs w:val="18"/>
              </w:rPr>
            </w:pPr>
            <w:r w:rsidRPr="00BE1AD1">
              <w:rPr>
                <w:rFonts w:ascii="Helvetica" w:eastAsia="Times New Roman" w:hAnsi="Helvetica" w:cs="Arial"/>
                <w:b/>
                <w:bCs/>
                <w:color w:val="000000"/>
                <w:sz w:val="18"/>
                <w:szCs w:val="18"/>
              </w:rPr>
              <w:t>Residential</w:t>
            </w:r>
          </w:p>
        </w:tc>
        <w:tc>
          <w:tcPr>
            <w:tcW w:w="1607" w:type="dxa"/>
            <w:shd w:val="clear" w:color="auto" w:fill="auto"/>
            <w:noWrap/>
            <w:vAlign w:val="center"/>
            <w:hideMark/>
          </w:tcPr>
          <w:p w14:paraId="713152F5" w14:textId="77777777" w:rsidR="00EC17AD" w:rsidRPr="00BE1AD1" w:rsidRDefault="00EC17AD" w:rsidP="0089630A">
            <w:pPr>
              <w:rPr>
                <w:rFonts w:ascii="Helvetica" w:eastAsia="Times New Roman" w:hAnsi="Helvetica" w:cs="Arial"/>
                <w:b/>
                <w:bCs/>
                <w:color w:val="000000"/>
                <w:sz w:val="18"/>
                <w:szCs w:val="18"/>
              </w:rPr>
            </w:pPr>
            <w:r w:rsidRPr="00BE1AD1">
              <w:rPr>
                <w:rFonts w:ascii="Helvetica" w:eastAsia="Times New Roman" w:hAnsi="Helvetica" w:cs="Arial"/>
                <w:b/>
                <w:bCs/>
                <w:color w:val="000000"/>
                <w:sz w:val="18"/>
                <w:szCs w:val="18"/>
              </w:rPr>
              <w:t>Residential Sector – Multi-family</w:t>
            </w:r>
          </w:p>
        </w:tc>
        <w:tc>
          <w:tcPr>
            <w:tcW w:w="1607" w:type="dxa"/>
            <w:shd w:val="clear" w:color="auto" w:fill="auto"/>
            <w:noWrap/>
            <w:vAlign w:val="center"/>
            <w:hideMark/>
          </w:tcPr>
          <w:p w14:paraId="0C486436" w14:textId="77777777" w:rsidR="00EC17AD" w:rsidRPr="00BE1AD1" w:rsidRDefault="00EC17AD" w:rsidP="0089630A">
            <w:pPr>
              <w:rPr>
                <w:rFonts w:ascii="Helvetica" w:eastAsia="Times New Roman" w:hAnsi="Helvetica" w:cs="Arial"/>
                <w:b/>
                <w:bCs/>
                <w:color w:val="000000"/>
                <w:sz w:val="18"/>
                <w:szCs w:val="18"/>
              </w:rPr>
            </w:pPr>
            <w:r w:rsidRPr="00BE1AD1">
              <w:rPr>
                <w:rFonts w:ascii="Helvetica" w:eastAsia="Times New Roman" w:hAnsi="Helvetica" w:cs="Arial"/>
                <w:b/>
                <w:bCs/>
                <w:color w:val="000000"/>
                <w:sz w:val="18"/>
                <w:szCs w:val="18"/>
              </w:rPr>
              <w:t>Commercial Sector</w:t>
            </w:r>
          </w:p>
        </w:tc>
        <w:tc>
          <w:tcPr>
            <w:tcW w:w="1607" w:type="dxa"/>
            <w:shd w:val="clear" w:color="auto" w:fill="auto"/>
            <w:vAlign w:val="center"/>
            <w:hideMark/>
          </w:tcPr>
          <w:p w14:paraId="503931F9" w14:textId="77777777" w:rsidR="00EC17AD" w:rsidRPr="00BE1AD1" w:rsidRDefault="00EC17AD" w:rsidP="0089630A">
            <w:pPr>
              <w:rPr>
                <w:rFonts w:ascii="Helvetica" w:eastAsia="Times New Roman" w:hAnsi="Helvetica" w:cs="Arial"/>
                <w:b/>
                <w:bCs/>
                <w:color w:val="000000"/>
                <w:sz w:val="18"/>
                <w:szCs w:val="18"/>
              </w:rPr>
            </w:pPr>
            <w:r w:rsidRPr="00BE1AD1">
              <w:rPr>
                <w:rFonts w:ascii="Helvetica" w:eastAsia="Times New Roman" w:hAnsi="Helvetica" w:cs="Arial"/>
                <w:b/>
                <w:bCs/>
                <w:color w:val="000000"/>
                <w:sz w:val="18"/>
                <w:szCs w:val="18"/>
              </w:rPr>
              <w:t>Public Sector</w:t>
            </w:r>
          </w:p>
        </w:tc>
        <w:tc>
          <w:tcPr>
            <w:tcW w:w="1607" w:type="dxa"/>
            <w:shd w:val="clear" w:color="auto" w:fill="auto"/>
            <w:vAlign w:val="center"/>
            <w:hideMark/>
          </w:tcPr>
          <w:p w14:paraId="3D3F0CCD" w14:textId="77777777" w:rsidR="00EC17AD" w:rsidRPr="00BE1AD1" w:rsidRDefault="00EC17AD" w:rsidP="0089630A">
            <w:pPr>
              <w:rPr>
                <w:rFonts w:ascii="Helvetica" w:eastAsia="Times New Roman" w:hAnsi="Helvetica" w:cs="Arial"/>
                <w:b/>
                <w:bCs/>
                <w:color w:val="000000"/>
                <w:sz w:val="18"/>
                <w:szCs w:val="18"/>
              </w:rPr>
            </w:pPr>
            <w:r w:rsidRPr="00BE1AD1">
              <w:rPr>
                <w:rFonts w:ascii="Helvetica" w:eastAsia="Times New Roman" w:hAnsi="Helvetica" w:cs="Arial"/>
                <w:b/>
                <w:bCs/>
                <w:color w:val="000000"/>
                <w:sz w:val="18"/>
                <w:szCs w:val="18"/>
              </w:rPr>
              <w:t>Industrial</w:t>
            </w:r>
          </w:p>
        </w:tc>
        <w:tc>
          <w:tcPr>
            <w:tcW w:w="1608" w:type="dxa"/>
            <w:shd w:val="clear" w:color="auto" w:fill="auto"/>
            <w:vAlign w:val="center"/>
            <w:hideMark/>
          </w:tcPr>
          <w:p w14:paraId="36DAEB2A" w14:textId="77777777" w:rsidR="00EC17AD" w:rsidRPr="00BE1AD1" w:rsidRDefault="00EC17AD" w:rsidP="0089630A">
            <w:pPr>
              <w:rPr>
                <w:rFonts w:ascii="Helvetica" w:eastAsia="Times New Roman" w:hAnsi="Helvetica" w:cs="Arial"/>
                <w:b/>
                <w:bCs/>
                <w:color w:val="000000"/>
                <w:sz w:val="18"/>
                <w:szCs w:val="18"/>
              </w:rPr>
            </w:pPr>
            <w:r w:rsidRPr="00BE1AD1">
              <w:rPr>
                <w:rFonts w:ascii="Helvetica" w:eastAsia="Times New Roman" w:hAnsi="Helvetica" w:cs="Arial"/>
                <w:b/>
                <w:bCs/>
                <w:color w:val="000000"/>
                <w:sz w:val="18"/>
                <w:szCs w:val="18"/>
              </w:rPr>
              <w:t>Agricultural</w:t>
            </w:r>
          </w:p>
        </w:tc>
      </w:tr>
      <w:tr w:rsidR="00C00063" w:rsidRPr="00BE1AD1" w14:paraId="6DB85F63" w14:textId="77777777" w:rsidTr="00593E74">
        <w:trPr>
          <w:cantSplit/>
          <w:trHeight w:val="20"/>
        </w:trPr>
        <w:tc>
          <w:tcPr>
            <w:tcW w:w="1607" w:type="dxa"/>
            <w:shd w:val="clear" w:color="auto" w:fill="auto"/>
            <w:vAlign w:val="center"/>
            <w:hideMark/>
          </w:tcPr>
          <w:p w14:paraId="4FCD5A47" w14:textId="77777777" w:rsidR="00EC17AD" w:rsidRPr="00BE1AD1" w:rsidRDefault="00EC17AD" w:rsidP="0089630A">
            <w:pPr>
              <w:rPr>
                <w:rFonts w:ascii="Helvetica" w:eastAsia="Times New Roman" w:hAnsi="Helvetica" w:cs="Arial"/>
                <w:b/>
                <w:bCs/>
                <w:color w:val="000000"/>
                <w:sz w:val="18"/>
                <w:szCs w:val="18"/>
              </w:rPr>
            </w:pPr>
            <w:r w:rsidRPr="00BE1AD1">
              <w:rPr>
                <w:rFonts w:ascii="Helvetica" w:eastAsia="Times New Roman" w:hAnsi="Helvetica" w:cs="Arial"/>
                <w:b/>
                <w:bCs/>
                <w:color w:val="000000"/>
                <w:sz w:val="18"/>
                <w:szCs w:val="18"/>
              </w:rPr>
              <w:t>Common Problem</w:t>
            </w:r>
          </w:p>
        </w:tc>
        <w:tc>
          <w:tcPr>
            <w:tcW w:w="1607" w:type="dxa"/>
            <w:shd w:val="clear" w:color="auto" w:fill="auto"/>
            <w:vAlign w:val="center"/>
            <w:hideMark/>
          </w:tcPr>
          <w:p w14:paraId="140D3AA6" w14:textId="77777777" w:rsidR="00EC17AD" w:rsidRPr="00BE1AD1" w:rsidRDefault="00EC17AD" w:rsidP="0089630A">
            <w:pPr>
              <w:rPr>
                <w:rFonts w:ascii="Helvetica" w:eastAsia="Times New Roman" w:hAnsi="Helvetica" w:cs="Arial"/>
                <w:b/>
                <w:bCs/>
                <w:color w:val="000000"/>
                <w:sz w:val="18"/>
                <w:szCs w:val="18"/>
              </w:rPr>
            </w:pPr>
            <w:r w:rsidRPr="00BE1AD1">
              <w:rPr>
                <w:rFonts w:ascii="Helvetica" w:eastAsia="Times New Roman" w:hAnsi="Helvetica" w:cs="Arial"/>
                <w:b/>
                <w:bCs/>
                <w:color w:val="000000"/>
                <w:sz w:val="18"/>
                <w:szCs w:val="18"/>
              </w:rPr>
              <w:t>Common Metric</w:t>
            </w:r>
          </w:p>
        </w:tc>
        <w:tc>
          <w:tcPr>
            <w:tcW w:w="1607" w:type="dxa"/>
            <w:shd w:val="clear" w:color="auto" w:fill="auto"/>
            <w:vAlign w:val="center"/>
            <w:hideMark/>
          </w:tcPr>
          <w:p w14:paraId="5A8FB883" w14:textId="77777777" w:rsidR="00EC17AD" w:rsidRPr="00BE1AD1" w:rsidRDefault="00EC17AD" w:rsidP="0089630A">
            <w:pPr>
              <w:rPr>
                <w:rFonts w:ascii="Helvetica" w:eastAsia="Times New Roman" w:hAnsi="Helvetica" w:cs="Arial"/>
                <w:b/>
                <w:bCs/>
                <w:color w:val="000000"/>
                <w:sz w:val="18"/>
                <w:szCs w:val="18"/>
              </w:rPr>
            </w:pPr>
            <w:r w:rsidRPr="00BE1AD1">
              <w:rPr>
                <w:rFonts w:ascii="Helvetica" w:eastAsia="Times New Roman" w:hAnsi="Helvetica" w:cs="Arial"/>
                <w:b/>
                <w:bCs/>
                <w:color w:val="000000"/>
                <w:sz w:val="18"/>
                <w:szCs w:val="18"/>
              </w:rPr>
              <w:t>Common Metric</w:t>
            </w:r>
          </w:p>
        </w:tc>
        <w:tc>
          <w:tcPr>
            <w:tcW w:w="1607" w:type="dxa"/>
            <w:shd w:val="clear" w:color="auto" w:fill="auto"/>
            <w:vAlign w:val="center"/>
            <w:hideMark/>
          </w:tcPr>
          <w:p w14:paraId="56A65AFF" w14:textId="77777777" w:rsidR="00EC17AD" w:rsidRPr="00BE1AD1" w:rsidRDefault="00EC17AD" w:rsidP="0089630A">
            <w:pPr>
              <w:rPr>
                <w:rFonts w:ascii="Helvetica" w:eastAsia="Times New Roman" w:hAnsi="Helvetica" w:cs="Arial"/>
                <w:b/>
                <w:bCs/>
                <w:color w:val="000000"/>
                <w:sz w:val="18"/>
                <w:szCs w:val="18"/>
              </w:rPr>
            </w:pPr>
            <w:r w:rsidRPr="00BE1AD1">
              <w:rPr>
                <w:rFonts w:ascii="Helvetica" w:eastAsia="Times New Roman" w:hAnsi="Helvetica" w:cs="Arial"/>
                <w:b/>
                <w:bCs/>
                <w:color w:val="000000"/>
                <w:sz w:val="18"/>
                <w:szCs w:val="18"/>
              </w:rPr>
              <w:t>Common Metric</w:t>
            </w:r>
          </w:p>
        </w:tc>
        <w:tc>
          <w:tcPr>
            <w:tcW w:w="1607" w:type="dxa"/>
            <w:shd w:val="clear" w:color="auto" w:fill="auto"/>
            <w:vAlign w:val="center"/>
            <w:hideMark/>
          </w:tcPr>
          <w:p w14:paraId="46FDC792" w14:textId="77777777" w:rsidR="00EC17AD" w:rsidRPr="00BE1AD1" w:rsidRDefault="00EC17AD" w:rsidP="0089630A">
            <w:pPr>
              <w:rPr>
                <w:rFonts w:ascii="Helvetica" w:eastAsia="Times New Roman" w:hAnsi="Helvetica" w:cs="Arial"/>
                <w:b/>
                <w:bCs/>
                <w:color w:val="000000"/>
                <w:sz w:val="18"/>
                <w:szCs w:val="18"/>
              </w:rPr>
            </w:pPr>
            <w:r w:rsidRPr="00BE1AD1">
              <w:rPr>
                <w:rFonts w:ascii="Helvetica" w:eastAsia="Times New Roman" w:hAnsi="Helvetica" w:cs="Arial"/>
                <w:b/>
                <w:bCs/>
                <w:color w:val="000000"/>
                <w:sz w:val="18"/>
                <w:szCs w:val="18"/>
              </w:rPr>
              <w:t>Common Metric</w:t>
            </w:r>
          </w:p>
        </w:tc>
        <w:tc>
          <w:tcPr>
            <w:tcW w:w="1607" w:type="dxa"/>
            <w:shd w:val="clear" w:color="auto" w:fill="auto"/>
            <w:vAlign w:val="center"/>
            <w:hideMark/>
          </w:tcPr>
          <w:p w14:paraId="10DE0B34" w14:textId="77777777" w:rsidR="00EC17AD" w:rsidRPr="00BE1AD1" w:rsidRDefault="00EC17AD" w:rsidP="0089630A">
            <w:pPr>
              <w:rPr>
                <w:rFonts w:ascii="Helvetica" w:eastAsia="Times New Roman" w:hAnsi="Helvetica" w:cs="Arial"/>
                <w:b/>
                <w:bCs/>
                <w:color w:val="000000"/>
                <w:sz w:val="18"/>
                <w:szCs w:val="18"/>
              </w:rPr>
            </w:pPr>
            <w:r w:rsidRPr="00BE1AD1">
              <w:rPr>
                <w:rFonts w:ascii="Helvetica" w:eastAsia="Times New Roman" w:hAnsi="Helvetica" w:cs="Arial"/>
                <w:b/>
                <w:bCs/>
                <w:color w:val="000000"/>
                <w:sz w:val="18"/>
                <w:szCs w:val="18"/>
              </w:rPr>
              <w:t>Common Metric</w:t>
            </w:r>
          </w:p>
        </w:tc>
        <w:tc>
          <w:tcPr>
            <w:tcW w:w="1607" w:type="dxa"/>
            <w:shd w:val="clear" w:color="auto" w:fill="auto"/>
            <w:vAlign w:val="center"/>
            <w:hideMark/>
          </w:tcPr>
          <w:p w14:paraId="3160713B" w14:textId="77777777" w:rsidR="00EC17AD" w:rsidRPr="00BE1AD1" w:rsidRDefault="00EC17AD" w:rsidP="0089630A">
            <w:pPr>
              <w:rPr>
                <w:rFonts w:ascii="Helvetica" w:eastAsia="Times New Roman" w:hAnsi="Helvetica" w:cs="Arial"/>
                <w:b/>
                <w:bCs/>
                <w:color w:val="000000"/>
                <w:sz w:val="18"/>
                <w:szCs w:val="18"/>
              </w:rPr>
            </w:pPr>
            <w:r w:rsidRPr="00BE1AD1">
              <w:rPr>
                <w:rFonts w:ascii="Helvetica" w:eastAsia="Times New Roman" w:hAnsi="Helvetica" w:cs="Arial"/>
                <w:b/>
                <w:bCs/>
                <w:color w:val="000000"/>
                <w:sz w:val="18"/>
                <w:szCs w:val="18"/>
              </w:rPr>
              <w:t>Common Metric</w:t>
            </w:r>
          </w:p>
        </w:tc>
        <w:tc>
          <w:tcPr>
            <w:tcW w:w="1608" w:type="dxa"/>
            <w:shd w:val="clear" w:color="auto" w:fill="auto"/>
            <w:vAlign w:val="center"/>
            <w:hideMark/>
          </w:tcPr>
          <w:p w14:paraId="5BE4A5C5" w14:textId="77777777" w:rsidR="00EC17AD" w:rsidRPr="00BE1AD1" w:rsidRDefault="00EC17AD" w:rsidP="0089630A">
            <w:pPr>
              <w:rPr>
                <w:rFonts w:ascii="Helvetica" w:eastAsia="Times New Roman" w:hAnsi="Helvetica" w:cs="Arial"/>
                <w:b/>
                <w:bCs/>
                <w:color w:val="000000"/>
                <w:sz w:val="18"/>
                <w:szCs w:val="18"/>
              </w:rPr>
            </w:pPr>
            <w:r w:rsidRPr="00BE1AD1">
              <w:rPr>
                <w:rFonts w:ascii="Helvetica" w:eastAsia="Times New Roman" w:hAnsi="Helvetica" w:cs="Arial"/>
                <w:b/>
                <w:bCs/>
                <w:color w:val="000000"/>
                <w:sz w:val="18"/>
                <w:szCs w:val="18"/>
              </w:rPr>
              <w:t>Common Metric</w:t>
            </w:r>
          </w:p>
        </w:tc>
      </w:tr>
      <w:tr w:rsidR="007121D2" w:rsidRPr="007121D2" w14:paraId="2373BA26" w14:textId="77777777" w:rsidTr="00D30834">
        <w:trPr>
          <w:cantSplit/>
          <w:trHeight w:val="20"/>
        </w:trPr>
        <w:tc>
          <w:tcPr>
            <w:tcW w:w="1607" w:type="dxa"/>
            <w:shd w:val="clear" w:color="auto" w:fill="auto"/>
            <w:vAlign w:val="center"/>
            <w:hideMark/>
          </w:tcPr>
          <w:p w14:paraId="55305D96" w14:textId="30AB83BE" w:rsidR="00EC17AD" w:rsidRPr="007121D2" w:rsidRDefault="00E90094" w:rsidP="0089630A">
            <w:pPr>
              <w:rPr>
                <w:rFonts w:ascii="Helvetica" w:eastAsia="Times New Roman" w:hAnsi="Helvetica" w:cs="Arial"/>
                <w:sz w:val="18"/>
                <w:szCs w:val="18"/>
              </w:rPr>
            </w:pPr>
            <w:r w:rsidRPr="007121D2">
              <w:rPr>
                <w:rFonts w:ascii="Helvetica" w:eastAsia="Times New Roman" w:hAnsi="Helvetica" w:cs="Arial"/>
                <w:sz w:val="18"/>
                <w:szCs w:val="18"/>
              </w:rPr>
              <w:t xml:space="preserve">C-1: </w:t>
            </w:r>
            <w:r w:rsidR="00EC17AD" w:rsidRPr="007121D2">
              <w:rPr>
                <w:rFonts w:ascii="Helvetica" w:eastAsia="Times New Roman" w:hAnsi="Helvetica" w:cs="Arial"/>
                <w:sz w:val="18"/>
                <w:szCs w:val="18"/>
              </w:rPr>
              <w:t>Capturing energy savings</w:t>
            </w:r>
          </w:p>
        </w:tc>
        <w:tc>
          <w:tcPr>
            <w:tcW w:w="1607" w:type="dxa"/>
            <w:shd w:val="clear" w:color="auto" w:fill="auto"/>
            <w:vAlign w:val="center"/>
            <w:hideMark/>
          </w:tcPr>
          <w:p w14:paraId="502C719B" w14:textId="0B95C3AD" w:rsidR="003F2113" w:rsidRPr="00D30834" w:rsidRDefault="003F2113" w:rsidP="0089630A">
            <w:pPr>
              <w:rPr>
                <w:rFonts w:ascii="Helvetica" w:hAnsi="Helvetica" w:cs="Calibri"/>
                <w:sz w:val="18"/>
                <w:szCs w:val="18"/>
              </w:rPr>
            </w:pPr>
            <w:r w:rsidRPr="00D30834">
              <w:rPr>
                <w:rFonts w:ascii="Helvetica" w:hAnsi="Helvetica" w:cs="Calibri"/>
                <w:sz w:val="18"/>
                <w:szCs w:val="18"/>
              </w:rPr>
              <w:t>First year annual and lifecycle ex‐ante (pre‐evaluation) gas, electric, and demand savings (gross and net)</w:t>
            </w:r>
          </w:p>
          <w:p w14:paraId="3B8330D0" w14:textId="52853002" w:rsidR="00E018E6" w:rsidRPr="00950156" w:rsidRDefault="00E018E6" w:rsidP="0089630A">
            <w:pPr>
              <w:rPr>
                <w:rFonts w:ascii="Helvetica" w:eastAsia="Times New Roman" w:hAnsi="Helvetica" w:cs="Arial"/>
                <w:sz w:val="18"/>
                <w:szCs w:val="18"/>
              </w:rPr>
            </w:pPr>
          </w:p>
        </w:tc>
        <w:tc>
          <w:tcPr>
            <w:tcW w:w="1607" w:type="dxa"/>
            <w:shd w:val="clear" w:color="auto" w:fill="auto"/>
            <w:vAlign w:val="center"/>
            <w:hideMark/>
          </w:tcPr>
          <w:p w14:paraId="707F5019" w14:textId="77777777" w:rsidR="00AA5418" w:rsidRPr="00950156" w:rsidRDefault="00AA5418" w:rsidP="0089630A">
            <w:pPr>
              <w:rPr>
                <w:rFonts w:ascii="Helvetica" w:hAnsi="Helvetica" w:cs="Calibri"/>
                <w:sz w:val="18"/>
                <w:szCs w:val="18"/>
              </w:rPr>
            </w:pPr>
            <w:r w:rsidRPr="00950156">
              <w:rPr>
                <w:rFonts w:ascii="Helvetica" w:hAnsi="Helvetica" w:cs="Calibri"/>
                <w:sz w:val="18"/>
                <w:szCs w:val="18"/>
              </w:rPr>
              <w:t>First year annual and lifecycle ex‐ante (pre‐evaluation) gas, electric, and demand savings (gross and net) for Single Family Customers</w:t>
            </w:r>
          </w:p>
          <w:p w14:paraId="32F475ED" w14:textId="7073A133" w:rsidR="00AA5418" w:rsidRPr="00950156" w:rsidRDefault="00AA5418" w:rsidP="0089630A">
            <w:pPr>
              <w:rPr>
                <w:rFonts w:ascii="Helvetica" w:eastAsia="Times New Roman" w:hAnsi="Helvetica" w:cs="Arial"/>
                <w:sz w:val="18"/>
                <w:szCs w:val="18"/>
              </w:rPr>
            </w:pPr>
          </w:p>
        </w:tc>
        <w:tc>
          <w:tcPr>
            <w:tcW w:w="1607" w:type="dxa"/>
            <w:shd w:val="clear" w:color="auto" w:fill="auto"/>
            <w:vAlign w:val="center"/>
            <w:hideMark/>
          </w:tcPr>
          <w:p w14:paraId="3D1A2BE6" w14:textId="77777777" w:rsidR="00C65D56" w:rsidRPr="00950156" w:rsidRDefault="00C65D56" w:rsidP="0089630A">
            <w:pPr>
              <w:rPr>
                <w:rFonts w:ascii="Helvetica" w:hAnsi="Helvetica" w:cs="Calibri"/>
                <w:sz w:val="18"/>
                <w:szCs w:val="18"/>
              </w:rPr>
            </w:pPr>
            <w:r w:rsidRPr="00950156">
              <w:rPr>
                <w:rFonts w:ascii="Helvetica" w:hAnsi="Helvetica" w:cs="Calibri"/>
                <w:sz w:val="18"/>
                <w:szCs w:val="18"/>
              </w:rPr>
              <w:t>First year annual and lifecycle ex‐ante (pre‐evaluation) gas, electric, and demand savings (gross and net) for multifamily customers (in‐unit, common area, and master metered accounts)</w:t>
            </w:r>
          </w:p>
          <w:p w14:paraId="675CE12F" w14:textId="2D8BE708" w:rsidR="00C65D56" w:rsidRPr="00950156" w:rsidRDefault="00C65D56" w:rsidP="0089630A">
            <w:pPr>
              <w:rPr>
                <w:rFonts w:ascii="Helvetica" w:eastAsia="Times New Roman" w:hAnsi="Helvetica" w:cs="Arial"/>
                <w:sz w:val="18"/>
                <w:szCs w:val="18"/>
              </w:rPr>
            </w:pPr>
          </w:p>
        </w:tc>
        <w:tc>
          <w:tcPr>
            <w:tcW w:w="1607" w:type="dxa"/>
            <w:shd w:val="clear" w:color="auto" w:fill="auto"/>
            <w:vAlign w:val="center"/>
            <w:hideMark/>
          </w:tcPr>
          <w:p w14:paraId="01647230" w14:textId="77777777" w:rsidR="0022402E" w:rsidRPr="00950156" w:rsidRDefault="0022402E" w:rsidP="0089630A">
            <w:pPr>
              <w:rPr>
                <w:rFonts w:ascii="Helvetica" w:hAnsi="Helvetica" w:cs="Calibri"/>
                <w:sz w:val="18"/>
                <w:szCs w:val="18"/>
              </w:rPr>
            </w:pPr>
            <w:r w:rsidRPr="00950156">
              <w:rPr>
                <w:rFonts w:ascii="Helvetica" w:hAnsi="Helvetica" w:cs="Calibri"/>
                <w:sz w:val="18"/>
                <w:szCs w:val="18"/>
              </w:rPr>
              <w:t>First year annual and lifecycle ex‐ante (pre‐evaluation) gas, electric, and demand savings (gross and net)</w:t>
            </w:r>
          </w:p>
          <w:p w14:paraId="7137AAFA" w14:textId="7382A3DA" w:rsidR="0022402E" w:rsidRPr="00950156" w:rsidRDefault="0022402E" w:rsidP="0089630A">
            <w:pPr>
              <w:rPr>
                <w:rFonts w:ascii="Helvetica" w:eastAsia="Times New Roman" w:hAnsi="Helvetica" w:cs="Arial"/>
                <w:sz w:val="18"/>
                <w:szCs w:val="18"/>
              </w:rPr>
            </w:pPr>
          </w:p>
        </w:tc>
        <w:tc>
          <w:tcPr>
            <w:tcW w:w="1607" w:type="dxa"/>
            <w:shd w:val="clear" w:color="auto" w:fill="auto"/>
            <w:vAlign w:val="center"/>
            <w:hideMark/>
          </w:tcPr>
          <w:p w14:paraId="697831D6" w14:textId="77777777" w:rsidR="001657ED" w:rsidRPr="00950156" w:rsidRDefault="001657ED" w:rsidP="0089630A">
            <w:pPr>
              <w:rPr>
                <w:rFonts w:ascii="Helvetica" w:hAnsi="Helvetica" w:cs="Calibri"/>
                <w:sz w:val="18"/>
                <w:szCs w:val="18"/>
              </w:rPr>
            </w:pPr>
            <w:r w:rsidRPr="00950156">
              <w:rPr>
                <w:rFonts w:ascii="Helvetica" w:hAnsi="Helvetica" w:cs="Calibri"/>
                <w:sz w:val="18"/>
                <w:szCs w:val="18"/>
              </w:rPr>
              <w:t>First year annual and lifecycle ex‐ante (pre‐evaluation) gas, electric, and demand savings (gross and net) across Public Sector programs</w:t>
            </w:r>
          </w:p>
          <w:p w14:paraId="7FA73007" w14:textId="79B5378C" w:rsidR="001657ED" w:rsidRPr="00950156" w:rsidRDefault="001657ED" w:rsidP="0089630A">
            <w:pPr>
              <w:rPr>
                <w:rFonts w:ascii="Helvetica" w:eastAsia="Times New Roman" w:hAnsi="Helvetica" w:cs="Arial"/>
                <w:sz w:val="18"/>
                <w:szCs w:val="18"/>
              </w:rPr>
            </w:pPr>
          </w:p>
        </w:tc>
        <w:tc>
          <w:tcPr>
            <w:tcW w:w="1607" w:type="dxa"/>
            <w:shd w:val="clear" w:color="auto" w:fill="auto"/>
            <w:vAlign w:val="center"/>
            <w:hideMark/>
          </w:tcPr>
          <w:p w14:paraId="1181D01E" w14:textId="77777777" w:rsidR="00D54A48" w:rsidRPr="00950156" w:rsidRDefault="00D54A48" w:rsidP="0089630A">
            <w:pPr>
              <w:rPr>
                <w:rFonts w:ascii="Helvetica" w:hAnsi="Helvetica" w:cs="Calibri"/>
                <w:sz w:val="18"/>
                <w:szCs w:val="18"/>
              </w:rPr>
            </w:pPr>
            <w:r w:rsidRPr="00950156">
              <w:rPr>
                <w:rFonts w:ascii="Helvetica" w:hAnsi="Helvetica" w:cs="Calibri"/>
                <w:sz w:val="18"/>
                <w:szCs w:val="18"/>
              </w:rPr>
              <w:t>First year annualized and lifecycle ex‐ante (pre‐evaluation) gas, electric, and demand savings (gross and net) in industrial sector</w:t>
            </w:r>
          </w:p>
          <w:p w14:paraId="4BEA7C72" w14:textId="7FB55702" w:rsidR="00D54A48" w:rsidRPr="00950156" w:rsidRDefault="00D54A48" w:rsidP="0089630A">
            <w:pPr>
              <w:rPr>
                <w:rFonts w:ascii="Helvetica" w:eastAsia="Times New Roman" w:hAnsi="Helvetica" w:cs="Arial"/>
                <w:sz w:val="18"/>
                <w:szCs w:val="18"/>
              </w:rPr>
            </w:pPr>
          </w:p>
        </w:tc>
        <w:tc>
          <w:tcPr>
            <w:tcW w:w="1608" w:type="dxa"/>
            <w:shd w:val="clear" w:color="auto" w:fill="auto"/>
            <w:vAlign w:val="center"/>
            <w:hideMark/>
          </w:tcPr>
          <w:p w14:paraId="1292BAD5" w14:textId="77777777" w:rsidR="00E2488D" w:rsidRPr="00950156" w:rsidRDefault="00E2488D" w:rsidP="0089630A">
            <w:pPr>
              <w:rPr>
                <w:rFonts w:ascii="Helvetica" w:hAnsi="Helvetica" w:cs="Calibri"/>
                <w:sz w:val="18"/>
                <w:szCs w:val="18"/>
              </w:rPr>
            </w:pPr>
            <w:r w:rsidRPr="00950156">
              <w:rPr>
                <w:rFonts w:ascii="Helvetica" w:hAnsi="Helvetica" w:cs="Calibri"/>
                <w:sz w:val="18"/>
                <w:szCs w:val="18"/>
              </w:rPr>
              <w:t>First year and lifecycle ex ante (pre‐evaluation) annualized gas, electric, and demand savings in agriculture sector, gross and net</w:t>
            </w:r>
          </w:p>
          <w:p w14:paraId="7DB4FDA6" w14:textId="68B89818" w:rsidR="00E2488D" w:rsidRPr="00950156" w:rsidRDefault="00E2488D" w:rsidP="0089630A">
            <w:pPr>
              <w:rPr>
                <w:rFonts w:ascii="Helvetica" w:eastAsia="Times New Roman" w:hAnsi="Helvetica" w:cs="Arial"/>
                <w:sz w:val="18"/>
                <w:szCs w:val="18"/>
              </w:rPr>
            </w:pPr>
          </w:p>
        </w:tc>
      </w:tr>
      <w:tr w:rsidR="007121D2" w:rsidRPr="007121D2" w14:paraId="5B350060" w14:textId="77777777" w:rsidTr="00D30834">
        <w:trPr>
          <w:cantSplit/>
          <w:trHeight w:val="20"/>
        </w:trPr>
        <w:tc>
          <w:tcPr>
            <w:tcW w:w="1607" w:type="dxa"/>
            <w:shd w:val="clear" w:color="auto" w:fill="auto"/>
            <w:vAlign w:val="center"/>
            <w:hideMark/>
          </w:tcPr>
          <w:p w14:paraId="29B90C90" w14:textId="77777777" w:rsidR="00EC17AD" w:rsidRPr="007121D2" w:rsidRDefault="00EC17AD" w:rsidP="0089630A">
            <w:pPr>
              <w:rPr>
                <w:rFonts w:ascii="Helvetica" w:eastAsia="Times New Roman" w:hAnsi="Helvetica" w:cs="Arial"/>
                <w:sz w:val="18"/>
                <w:szCs w:val="18"/>
              </w:rPr>
            </w:pPr>
            <w:r w:rsidRPr="007121D2">
              <w:rPr>
                <w:rFonts w:ascii="Helvetica" w:eastAsia="Times New Roman" w:hAnsi="Helvetica" w:cs="Arial"/>
                <w:sz w:val="18"/>
                <w:szCs w:val="18"/>
              </w:rPr>
              <w:t>Capturing energy savings</w:t>
            </w:r>
            <w:r w:rsidRPr="007121D2">
              <w:rPr>
                <w:rFonts w:ascii="Helvetica" w:eastAsia="Times New Roman" w:hAnsi="Helvetica" w:cs="Arial"/>
                <w:sz w:val="18"/>
                <w:szCs w:val="18"/>
              </w:rPr>
              <w:br/>
            </w:r>
            <w:r w:rsidRPr="007121D2">
              <w:rPr>
                <w:rFonts w:ascii="Helvetica" w:eastAsia="Times New Roman" w:hAnsi="Helvetica" w:cs="Arial"/>
                <w:b/>
                <w:bCs/>
                <w:sz w:val="18"/>
                <w:szCs w:val="18"/>
              </w:rPr>
              <w:t>As percent of overall sectoral use</w:t>
            </w:r>
          </w:p>
        </w:tc>
        <w:tc>
          <w:tcPr>
            <w:tcW w:w="1607" w:type="dxa"/>
            <w:shd w:val="clear" w:color="auto" w:fill="auto"/>
            <w:noWrap/>
            <w:vAlign w:val="bottom"/>
            <w:hideMark/>
          </w:tcPr>
          <w:p w14:paraId="3B23B21A"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vAlign w:val="center"/>
            <w:hideMark/>
          </w:tcPr>
          <w:p w14:paraId="6374555A"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vAlign w:val="center"/>
            <w:hideMark/>
          </w:tcPr>
          <w:p w14:paraId="00FB4999"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vAlign w:val="center"/>
            <w:hideMark/>
          </w:tcPr>
          <w:p w14:paraId="0AEC639C" w14:textId="77777777" w:rsidR="00825157" w:rsidRPr="00950156" w:rsidRDefault="00825157" w:rsidP="0089630A">
            <w:pPr>
              <w:rPr>
                <w:rFonts w:ascii="Helvetica" w:hAnsi="Helvetica" w:cs="Calibri"/>
                <w:sz w:val="18"/>
                <w:szCs w:val="18"/>
              </w:rPr>
            </w:pPr>
            <w:r w:rsidRPr="00950156">
              <w:rPr>
                <w:rFonts w:ascii="Helvetica" w:hAnsi="Helvetica" w:cs="Calibri"/>
                <w:sz w:val="18"/>
                <w:szCs w:val="18"/>
              </w:rPr>
              <w:t>First year annual and lifecycle ex‐ante (pre‐evaluation) gas, electric, and demand savings (gross and net) as a percentage of overall sectoral usage</w:t>
            </w:r>
          </w:p>
          <w:p w14:paraId="43431546" w14:textId="5BC28D30" w:rsidR="00825157" w:rsidRPr="00950156" w:rsidRDefault="00825157" w:rsidP="0089630A">
            <w:pPr>
              <w:rPr>
                <w:rFonts w:ascii="Helvetica" w:eastAsia="Times New Roman" w:hAnsi="Helvetica" w:cs="Arial"/>
                <w:sz w:val="18"/>
                <w:szCs w:val="18"/>
              </w:rPr>
            </w:pPr>
          </w:p>
        </w:tc>
        <w:tc>
          <w:tcPr>
            <w:tcW w:w="1607" w:type="dxa"/>
            <w:shd w:val="clear" w:color="auto" w:fill="auto"/>
            <w:vAlign w:val="center"/>
          </w:tcPr>
          <w:p w14:paraId="7F93FC16" w14:textId="5A551EBA" w:rsidR="00EC17AD" w:rsidRPr="00950156" w:rsidRDefault="00EC17AD" w:rsidP="0089630A">
            <w:pPr>
              <w:rPr>
                <w:rFonts w:ascii="Helvetica" w:eastAsia="Times New Roman" w:hAnsi="Helvetica" w:cs="Arial"/>
                <w:sz w:val="18"/>
                <w:szCs w:val="18"/>
              </w:rPr>
            </w:pPr>
          </w:p>
        </w:tc>
        <w:tc>
          <w:tcPr>
            <w:tcW w:w="1607" w:type="dxa"/>
            <w:shd w:val="clear" w:color="auto" w:fill="auto"/>
            <w:vAlign w:val="center"/>
          </w:tcPr>
          <w:p w14:paraId="6B3AE59B" w14:textId="0E88A27C" w:rsidR="00EC17AD" w:rsidRPr="00950156" w:rsidRDefault="00EC17AD" w:rsidP="0089630A">
            <w:pPr>
              <w:rPr>
                <w:rFonts w:ascii="Helvetica" w:eastAsia="Times New Roman" w:hAnsi="Helvetica" w:cs="Arial"/>
                <w:sz w:val="18"/>
                <w:szCs w:val="18"/>
              </w:rPr>
            </w:pPr>
          </w:p>
        </w:tc>
        <w:tc>
          <w:tcPr>
            <w:tcW w:w="1608" w:type="dxa"/>
            <w:shd w:val="clear" w:color="auto" w:fill="auto"/>
            <w:vAlign w:val="center"/>
          </w:tcPr>
          <w:p w14:paraId="4D8750D6" w14:textId="2ACE2B84" w:rsidR="00EC17AD" w:rsidRPr="00950156" w:rsidRDefault="00EC17AD" w:rsidP="0089630A">
            <w:pPr>
              <w:rPr>
                <w:rFonts w:ascii="Helvetica" w:eastAsia="Times New Roman" w:hAnsi="Helvetica" w:cs="Arial"/>
                <w:sz w:val="18"/>
                <w:szCs w:val="18"/>
              </w:rPr>
            </w:pPr>
          </w:p>
        </w:tc>
      </w:tr>
      <w:tr w:rsidR="007121D2" w:rsidRPr="007121D2" w14:paraId="4F77C2DB" w14:textId="77777777" w:rsidTr="00D30834">
        <w:trPr>
          <w:cantSplit/>
          <w:trHeight w:val="20"/>
        </w:trPr>
        <w:tc>
          <w:tcPr>
            <w:tcW w:w="1607" w:type="dxa"/>
            <w:shd w:val="clear" w:color="auto" w:fill="auto"/>
            <w:vAlign w:val="center"/>
            <w:hideMark/>
          </w:tcPr>
          <w:p w14:paraId="1B5C4C87" w14:textId="203B9156" w:rsidR="00EC17AD" w:rsidRPr="007121D2" w:rsidRDefault="008447E6" w:rsidP="0089630A">
            <w:pPr>
              <w:rPr>
                <w:rFonts w:ascii="Helvetica" w:eastAsia="Times New Roman" w:hAnsi="Helvetica" w:cs="Arial"/>
                <w:sz w:val="18"/>
                <w:szCs w:val="18"/>
              </w:rPr>
            </w:pPr>
            <w:r w:rsidRPr="007121D2">
              <w:rPr>
                <w:rFonts w:ascii="Helvetica" w:eastAsia="Times New Roman" w:hAnsi="Helvetica" w:cs="Arial"/>
                <w:sz w:val="18"/>
                <w:szCs w:val="18"/>
              </w:rPr>
              <w:lastRenderedPageBreak/>
              <w:t xml:space="preserve">D1: </w:t>
            </w:r>
            <w:r w:rsidR="00EC17AD" w:rsidRPr="007121D2">
              <w:rPr>
                <w:rFonts w:ascii="Helvetica" w:eastAsia="Times New Roman" w:hAnsi="Helvetica" w:cs="Arial"/>
                <w:sz w:val="18"/>
                <w:szCs w:val="18"/>
              </w:rPr>
              <w:t>Depth of interventions</w:t>
            </w:r>
            <w:r w:rsidR="00EC17AD" w:rsidRPr="007121D2">
              <w:rPr>
                <w:rFonts w:ascii="Helvetica" w:eastAsia="Times New Roman" w:hAnsi="Helvetica" w:cs="Arial"/>
                <w:sz w:val="18"/>
                <w:szCs w:val="18"/>
              </w:rPr>
              <w:br/>
            </w:r>
            <w:r w:rsidR="00EC17AD" w:rsidRPr="007121D2">
              <w:rPr>
                <w:rFonts w:ascii="Helvetica" w:eastAsia="Times New Roman" w:hAnsi="Helvetica" w:cs="Arial"/>
                <w:b/>
                <w:bCs/>
                <w:sz w:val="18"/>
                <w:szCs w:val="18"/>
              </w:rPr>
              <w:t>Per participant</w:t>
            </w:r>
          </w:p>
        </w:tc>
        <w:tc>
          <w:tcPr>
            <w:tcW w:w="1607" w:type="dxa"/>
            <w:shd w:val="clear" w:color="auto" w:fill="auto"/>
            <w:noWrap/>
            <w:vAlign w:val="bottom"/>
            <w:hideMark/>
          </w:tcPr>
          <w:p w14:paraId="3EF08EDD"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vAlign w:val="center"/>
            <w:hideMark/>
          </w:tcPr>
          <w:p w14:paraId="5937DD4F" w14:textId="77777777" w:rsidR="00876F9C" w:rsidRPr="00950156" w:rsidRDefault="00876F9C" w:rsidP="0089630A">
            <w:pPr>
              <w:rPr>
                <w:rFonts w:ascii="Helvetica" w:hAnsi="Helvetica" w:cs="Calibri"/>
                <w:sz w:val="18"/>
                <w:szCs w:val="18"/>
              </w:rPr>
            </w:pPr>
            <w:r w:rsidRPr="00950156">
              <w:rPr>
                <w:rFonts w:ascii="Helvetica" w:hAnsi="Helvetica" w:cs="Calibri"/>
                <w:sz w:val="18"/>
                <w:szCs w:val="18"/>
              </w:rPr>
              <w:t>Average savings per participant in both opt‐in and opt‐out programs (broken down by downstream, midstream and upstream, as feasible)</w:t>
            </w:r>
          </w:p>
          <w:p w14:paraId="2DA59A7D" w14:textId="368EC275" w:rsidR="00876F9C" w:rsidRPr="00950156" w:rsidRDefault="00876F9C" w:rsidP="0089630A">
            <w:pPr>
              <w:rPr>
                <w:rFonts w:ascii="Helvetica" w:eastAsia="Times New Roman" w:hAnsi="Helvetica" w:cs="Arial"/>
                <w:sz w:val="18"/>
                <w:szCs w:val="18"/>
              </w:rPr>
            </w:pPr>
          </w:p>
        </w:tc>
        <w:tc>
          <w:tcPr>
            <w:tcW w:w="1607" w:type="dxa"/>
            <w:shd w:val="clear" w:color="auto" w:fill="auto"/>
            <w:vAlign w:val="center"/>
            <w:hideMark/>
          </w:tcPr>
          <w:p w14:paraId="49F5047E" w14:textId="178260E3" w:rsidR="00C65D56" w:rsidRPr="00950156" w:rsidRDefault="00C65D56" w:rsidP="0089630A">
            <w:pPr>
              <w:rPr>
                <w:rFonts w:ascii="Helvetica" w:hAnsi="Helvetica" w:cs="Calibri"/>
                <w:sz w:val="18"/>
                <w:szCs w:val="18"/>
              </w:rPr>
            </w:pPr>
            <w:r w:rsidRPr="00950156">
              <w:rPr>
                <w:rFonts w:ascii="Helvetica" w:hAnsi="Helvetica" w:cs="Calibri"/>
                <w:sz w:val="18"/>
                <w:szCs w:val="18"/>
              </w:rPr>
              <w:t xml:space="preserve">Energy savings (kWh, kw, therms) </w:t>
            </w:r>
            <w:r w:rsidRPr="00867FA7">
              <w:rPr>
                <w:rFonts w:ascii="Helvetica" w:hAnsi="Helvetica" w:cs="Calibri"/>
                <w:sz w:val="18"/>
                <w:szCs w:val="18"/>
                <w:highlight w:val="yellow"/>
              </w:rPr>
              <w:t>per project (building)</w:t>
            </w:r>
          </w:p>
          <w:p w14:paraId="511973F6" w14:textId="77777777" w:rsidR="00C65D56" w:rsidRDefault="00C65D56" w:rsidP="0089630A">
            <w:pPr>
              <w:rPr>
                <w:rFonts w:ascii="Helvetica" w:eastAsia="Times New Roman" w:hAnsi="Helvetica" w:cs="Arial"/>
                <w:sz w:val="18"/>
                <w:szCs w:val="18"/>
              </w:rPr>
            </w:pPr>
          </w:p>
          <w:p w14:paraId="45247DF5" w14:textId="271E5116" w:rsidR="00487CC1" w:rsidRPr="00950156" w:rsidRDefault="00487CC1" w:rsidP="0089630A">
            <w:pPr>
              <w:rPr>
                <w:rFonts w:ascii="Helvetica" w:eastAsia="Times New Roman" w:hAnsi="Helvetica" w:cs="Arial"/>
                <w:sz w:val="18"/>
                <w:szCs w:val="18"/>
              </w:rPr>
            </w:pPr>
          </w:p>
        </w:tc>
        <w:tc>
          <w:tcPr>
            <w:tcW w:w="1607" w:type="dxa"/>
            <w:shd w:val="clear" w:color="auto" w:fill="auto"/>
            <w:noWrap/>
            <w:vAlign w:val="bottom"/>
            <w:hideMark/>
          </w:tcPr>
          <w:p w14:paraId="240103F6"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vAlign w:val="center"/>
            <w:hideMark/>
          </w:tcPr>
          <w:p w14:paraId="5601B3AE"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vAlign w:val="center"/>
            <w:hideMark/>
          </w:tcPr>
          <w:p w14:paraId="1A5706B6"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8" w:type="dxa"/>
            <w:shd w:val="clear" w:color="auto" w:fill="auto"/>
            <w:vAlign w:val="center"/>
            <w:hideMark/>
          </w:tcPr>
          <w:p w14:paraId="73B99395" w14:textId="77777777" w:rsidR="00630F80"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p w14:paraId="17A92832" w14:textId="248A966D" w:rsidR="00EC17AD" w:rsidRPr="00950156" w:rsidRDefault="00EC17AD" w:rsidP="004A144E">
            <w:pPr>
              <w:rPr>
                <w:rFonts w:ascii="Helvetica" w:eastAsia="Times New Roman" w:hAnsi="Helvetica" w:cs="Arial"/>
                <w:sz w:val="18"/>
                <w:szCs w:val="18"/>
              </w:rPr>
            </w:pPr>
          </w:p>
        </w:tc>
      </w:tr>
      <w:tr w:rsidR="007121D2" w:rsidRPr="007121D2" w14:paraId="0577782E" w14:textId="77777777" w:rsidTr="00D30834">
        <w:trPr>
          <w:cantSplit/>
          <w:trHeight w:val="20"/>
        </w:trPr>
        <w:tc>
          <w:tcPr>
            <w:tcW w:w="1607" w:type="dxa"/>
            <w:shd w:val="clear" w:color="auto" w:fill="auto"/>
            <w:vAlign w:val="center"/>
            <w:hideMark/>
          </w:tcPr>
          <w:p w14:paraId="407B2A58" w14:textId="01DF5C01" w:rsidR="00EC17AD" w:rsidRPr="009E7422" w:rsidRDefault="008447E6" w:rsidP="0089630A">
            <w:pPr>
              <w:rPr>
                <w:rFonts w:ascii="Helvetica" w:eastAsia="Times New Roman" w:hAnsi="Helvetica" w:cs="Arial"/>
                <w:sz w:val="18"/>
                <w:szCs w:val="18"/>
              </w:rPr>
            </w:pPr>
            <w:r w:rsidRPr="009E7422">
              <w:rPr>
                <w:rFonts w:ascii="Helvetica" w:eastAsia="Times New Roman" w:hAnsi="Helvetica" w:cs="Arial"/>
                <w:sz w:val="18"/>
                <w:szCs w:val="18"/>
              </w:rPr>
              <w:t xml:space="preserve">D2: </w:t>
            </w:r>
            <w:r w:rsidR="00EC17AD" w:rsidRPr="009E7422">
              <w:rPr>
                <w:rFonts w:ascii="Helvetica" w:eastAsia="Times New Roman" w:hAnsi="Helvetica" w:cs="Arial"/>
                <w:sz w:val="18"/>
                <w:szCs w:val="18"/>
              </w:rPr>
              <w:t>Depth of interventions</w:t>
            </w:r>
            <w:r w:rsidR="00EC17AD" w:rsidRPr="009E7422">
              <w:rPr>
                <w:rFonts w:ascii="Helvetica" w:eastAsia="Times New Roman" w:hAnsi="Helvetica" w:cs="Arial"/>
                <w:sz w:val="18"/>
                <w:szCs w:val="18"/>
              </w:rPr>
              <w:br/>
            </w:r>
            <w:r w:rsidR="00EC17AD" w:rsidRPr="009E7422">
              <w:rPr>
                <w:rFonts w:ascii="Helvetica" w:eastAsia="Times New Roman" w:hAnsi="Helvetica" w:cs="Arial"/>
                <w:b/>
                <w:bCs/>
                <w:sz w:val="18"/>
                <w:szCs w:val="18"/>
              </w:rPr>
              <w:t>Per project</w:t>
            </w:r>
          </w:p>
        </w:tc>
        <w:tc>
          <w:tcPr>
            <w:tcW w:w="1607" w:type="dxa"/>
            <w:shd w:val="clear" w:color="auto" w:fill="auto"/>
            <w:noWrap/>
            <w:vAlign w:val="bottom"/>
            <w:hideMark/>
          </w:tcPr>
          <w:p w14:paraId="50144331"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vAlign w:val="center"/>
            <w:hideMark/>
          </w:tcPr>
          <w:p w14:paraId="346284BF"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vAlign w:val="center"/>
            <w:hideMark/>
          </w:tcPr>
          <w:p w14:paraId="15158AEE" w14:textId="77777777" w:rsidR="00C65D56" w:rsidRPr="00950156" w:rsidRDefault="00C65D56" w:rsidP="0089630A">
            <w:pPr>
              <w:rPr>
                <w:rFonts w:ascii="Helvetica" w:hAnsi="Helvetica" w:cs="Calibri"/>
                <w:sz w:val="18"/>
                <w:szCs w:val="18"/>
              </w:rPr>
            </w:pPr>
            <w:r w:rsidRPr="00950156">
              <w:rPr>
                <w:rFonts w:ascii="Helvetica" w:hAnsi="Helvetica" w:cs="Calibri"/>
                <w:sz w:val="18"/>
                <w:szCs w:val="18"/>
              </w:rPr>
              <w:t>Average savings per participant Savings per project (property)</w:t>
            </w:r>
          </w:p>
          <w:p w14:paraId="428B53FA" w14:textId="55138273" w:rsidR="00C65D56" w:rsidRPr="00867FA7" w:rsidRDefault="00C65D56" w:rsidP="0089630A">
            <w:pPr>
              <w:rPr>
                <w:rFonts w:ascii="Helvetica" w:eastAsia="Times New Roman" w:hAnsi="Helvetica" w:cs="Arial"/>
                <w:sz w:val="18"/>
                <w:szCs w:val="18"/>
                <w:highlight w:val="yellow"/>
              </w:rPr>
            </w:pPr>
          </w:p>
        </w:tc>
        <w:tc>
          <w:tcPr>
            <w:tcW w:w="1607" w:type="dxa"/>
            <w:shd w:val="clear" w:color="auto" w:fill="auto"/>
            <w:vAlign w:val="center"/>
            <w:hideMark/>
          </w:tcPr>
          <w:p w14:paraId="73ED7F7D" w14:textId="77777777" w:rsidR="004A46A3" w:rsidRPr="00950156" w:rsidRDefault="004A46A3" w:rsidP="0089630A">
            <w:pPr>
              <w:rPr>
                <w:rFonts w:ascii="Helvetica" w:hAnsi="Helvetica" w:cs="Calibri"/>
                <w:sz w:val="18"/>
                <w:szCs w:val="18"/>
              </w:rPr>
            </w:pPr>
            <w:r w:rsidRPr="00950156">
              <w:rPr>
                <w:rFonts w:ascii="Helvetica" w:hAnsi="Helvetica" w:cs="Calibri"/>
                <w:sz w:val="18"/>
                <w:szCs w:val="18"/>
              </w:rPr>
              <w:t xml:space="preserve">Energy savings (gross kWh, therms) </w:t>
            </w:r>
            <w:r w:rsidRPr="00867FA7">
              <w:rPr>
                <w:rFonts w:ascii="Helvetica" w:hAnsi="Helvetica" w:cs="Calibri"/>
                <w:sz w:val="18"/>
                <w:szCs w:val="18"/>
                <w:highlight w:val="yellow"/>
              </w:rPr>
              <w:t>as a fraction of total project consumption.</w:t>
            </w:r>
          </w:p>
          <w:p w14:paraId="76216752" w14:textId="536106A8" w:rsidR="004A46A3" w:rsidRPr="00867FA7" w:rsidRDefault="004A46A3" w:rsidP="0089630A">
            <w:pPr>
              <w:rPr>
                <w:rFonts w:ascii="Helvetica" w:eastAsia="Times New Roman" w:hAnsi="Helvetica" w:cs="Arial"/>
                <w:sz w:val="18"/>
                <w:szCs w:val="18"/>
                <w:highlight w:val="yellow"/>
              </w:rPr>
            </w:pPr>
          </w:p>
        </w:tc>
        <w:tc>
          <w:tcPr>
            <w:tcW w:w="1607" w:type="dxa"/>
            <w:shd w:val="clear" w:color="auto" w:fill="auto"/>
            <w:vAlign w:val="center"/>
            <w:hideMark/>
          </w:tcPr>
          <w:p w14:paraId="156344CE" w14:textId="26D834E7" w:rsidR="007F2C65" w:rsidRPr="00385620" w:rsidRDefault="008C3AEA" w:rsidP="0089630A">
            <w:pPr>
              <w:rPr>
                <w:rFonts w:ascii="Helvetica" w:hAnsi="Helvetica" w:cs="Calibri"/>
                <w:color w:val="0070C0"/>
                <w:sz w:val="18"/>
                <w:szCs w:val="18"/>
              </w:rPr>
            </w:pPr>
            <w:r w:rsidRPr="00385620">
              <w:rPr>
                <w:rFonts w:ascii="Helvetica" w:hAnsi="Helvetica" w:cs="Calibri"/>
                <w:color w:val="0070C0"/>
                <w:sz w:val="18"/>
                <w:szCs w:val="18"/>
              </w:rPr>
              <w:t xml:space="preserve">[Indicator] </w:t>
            </w:r>
            <w:r w:rsidR="007F2C65" w:rsidRPr="00385620">
              <w:rPr>
                <w:rFonts w:ascii="Helvetica" w:hAnsi="Helvetica" w:cs="Calibri"/>
                <w:color w:val="0070C0"/>
                <w:sz w:val="18"/>
                <w:szCs w:val="18"/>
              </w:rPr>
              <w:t xml:space="preserve">Average </w:t>
            </w:r>
            <w:r w:rsidR="007F2C65" w:rsidRPr="00867FA7">
              <w:rPr>
                <w:rFonts w:ascii="Helvetica" w:hAnsi="Helvetica" w:cs="Calibri"/>
                <w:color w:val="0070C0"/>
                <w:sz w:val="18"/>
                <w:szCs w:val="18"/>
                <w:highlight w:val="yellow"/>
              </w:rPr>
              <w:t>percent</w:t>
            </w:r>
            <w:r w:rsidR="007F2C65" w:rsidRPr="00385620">
              <w:rPr>
                <w:rFonts w:ascii="Helvetica" w:hAnsi="Helvetica" w:cs="Calibri"/>
                <w:color w:val="0070C0"/>
                <w:sz w:val="18"/>
                <w:szCs w:val="18"/>
              </w:rPr>
              <w:t xml:space="preserve"> energy savings (kWh, kw, therms) per project building </w:t>
            </w:r>
            <w:r w:rsidR="007F2C65" w:rsidRPr="00867FA7">
              <w:rPr>
                <w:rFonts w:ascii="Helvetica" w:hAnsi="Helvetica" w:cs="Calibri"/>
                <w:color w:val="0070C0"/>
                <w:sz w:val="18"/>
                <w:szCs w:val="18"/>
                <w:highlight w:val="yellow"/>
              </w:rPr>
              <w:t>or facility</w:t>
            </w:r>
          </w:p>
          <w:p w14:paraId="7A85BC42" w14:textId="2F622FC0" w:rsidR="007F2C65" w:rsidRPr="00950156" w:rsidRDefault="007F2C65" w:rsidP="0089630A">
            <w:pPr>
              <w:rPr>
                <w:rFonts w:ascii="Helvetica" w:eastAsia="Times New Roman" w:hAnsi="Helvetica" w:cs="Arial"/>
                <w:sz w:val="18"/>
                <w:szCs w:val="18"/>
              </w:rPr>
            </w:pPr>
          </w:p>
        </w:tc>
        <w:tc>
          <w:tcPr>
            <w:tcW w:w="1607" w:type="dxa"/>
            <w:shd w:val="clear" w:color="auto" w:fill="auto"/>
            <w:noWrap/>
            <w:vAlign w:val="bottom"/>
            <w:hideMark/>
          </w:tcPr>
          <w:p w14:paraId="77941966"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8" w:type="dxa"/>
            <w:shd w:val="clear" w:color="auto" w:fill="auto"/>
            <w:noWrap/>
            <w:vAlign w:val="bottom"/>
            <w:hideMark/>
          </w:tcPr>
          <w:p w14:paraId="079F4DC7"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r>
      <w:tr w:rsidR="007121D2" w:rsidRPr="007121D2" w14:paraId="4AAB52EC" w14:textId="77777777" w:rsidTr="00D30834">
        <w:trPr>
          <w:cantSplit/>
          <w:trHeight w:val="20"/>
        </w:trPr>
        <w:tc>
          <w:tcPr>
            <w:tcW w:w="1607" w:type="dxa"/>
            <w:shd w:val="clear" w:color="auto" w:fill="auto"/>
            <w:vAlign w:val="center"/>
            <w:hideMark/>
          </w:tcPr>
          <w:p w14:paraId="534A289E" w14:textId="5ACD477E" w:rsidR="00EC17AD" w:rsidRPr="009E7422" w:rsidRDefault="008447E6" w:rsidP="0089630A">
            <w:pPr>
              <w:rPr>
                <w:rFonts w:ascii="Helvetica" w:eastAsia="Times New Roman" w:hAnsi="Helvetica" w:cs="Arial"/>
                <w:sz w:val="18"/>
                <w:szCs w:val="18"/>
              </w:rPr>
            </w:pPr>
            <w:r w:rsidRPr="009E7422">
              <w:rPr>
                <w:rFonts w:ascii="Helvetica" w:eastAsia="Times New Roman" w:hAnsi="Helvetica" w:cs="Arial"/>
                <w:sz w:val="18"/>
                <w:szCs w:val="18"/>
              </w:rPr>
              <w:t xml:space="preserve">D3: </w:t>
            </w:r>
            <w:r w:rsidR="00EC17AD" w:rsidRPr="009E7422">
              <w:rPr>
                <w:rFonts w:ascii="Helvetica" w:eastAsia="Times New Roman" w:hAnsi="Helvetica" w:cs="Arial"/>
                <w:sz w:val="18"/>
                <w:szCs w:val="18"/>
              </w:rPr>
              <w:t>Depth of interventions</w:t>
            </w:r>
            <w:r w:rsidR="00EC17AD" w:rsidRPr="009E7422">
              <w:rPr>
                <w:rFonts w:ascii="Helvetica" w:eastAsia="Times New Roman" w:hAnsi="Helvetica" w:cs="Arial"/>
                <w:sz w:val="18"/>
                <w:szCs w:val="18"/>
              </w:rPr>
              <w:br/>
            </w:r>
            <w:r w:rsidR="00EC17AD" w:rsidRPr="009E7422">
              <w:rPr>
                <w:rFonts w:ascii="Helvetica" w:eastAsia="Times New Roman" w:hAnsi="Helvetica" w:cs="Arial"/>
                <w:b/>
                <w:bCs/>
                <w:sz w:val="18"/>
                <w:szCs w:val="18"/>
              </w:rPr>
              <w:t>Per square foot</w:t>
            </w:r>
          </w:p>
        </w:tc>
        <w:tc>
          <w:tcPr>
            <w:tcW w:w="1607" w:type="dxa"/>
            <w:shd w:val="clear" w:color="auto" w:fill="auto"/>
            <w:noWrap/>
            <w:vAlign w:val="bottom"/>
            <w:hideMark/>
          </w:tcPr>
          <w:p w14:paraId="5F05202B"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vAlign w:val="center"/>
            <w:hideMark/>
          </w:tcPr>
          <w:p w14:paraId="62B00B9A"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hideMark/>
          </w:tcPr>
          <w:p w14:paraId="6564DA57" w14:textId="77777777" w:rsidR="00B66379" w:rsidRPr="00950156" w:rsidRDefault="00EC17AD" w:rsidP="0089630A">
            <w:pPr>
              <w:rPr>
                <w:rFonts w:ascii="Helvetica" w:hAnsi="Helvetica" w:cs="Calibri"/>
                <w:sz w:val="18"/>
                <w:szCs w:val="18"/>
              </w:rPr>
            </w:pPr>
            <w:r w:rsidRPr="00950156">
              <w:rPr>
                <w:rFonts w:ascii="Helvetica" w:eastAsia="Times New Roman" w:hAnsi="Helvetica" w:cs="Arial"/>
                <w:sz w:val="18"/>
                <w:szCs w:val="18"/>
              </w:rPr>
              <w:t> </w:t>
            </w:r>
            <w:r w:rsidR="00B66379" w:rsidRPr="00867FA7">
              <w:rPr>
                <w:rFonts w:ascii="Helvetica" w:hAnsi="Helvetica" w:cs="Calibri"/>
                <w:sz w:val="18"/>
                <w:szCs w:val="18"/>
                <w:highlight w:val="yellow"/>
              </w:rPr>
              <w:t>Energy savings (kWh, kw, therms) per square foot</w:t>
            </w:r>
          </w:p>
          <w:p w14:paraId="16BA0810" w14:textId="77777777" w:rsidR="00EC17AD" w:rsidRPr="00950156" w:rsidRDefault="00EC17AD" w:rsidP="0089630A">
            <w:pPr>
              <w:rPr>
                <w:rFonts w:ascii="Helvetica" w:eastAsia="Times New Roman" w:hAnsi="Helvetica" w:cs="Arial"/>
                <w:sz w:val="18"/>
                <w:szCs w:val="18"/>
              </w:rPr>
            </w:pPr>
          </w:p>
        </w:tc>
        <w:tc>
          <w:tcPr>
            <w:tcW w:w="1607" w:type="dxa"/>
            <w:shd w:val="clear" w:color="auto" w:fill="auto"/>
            <w:vAlign w:val="center"/>
          </w:tcPr>
          <w:p w14:paraId="79D3FD9D" w14:textId="703D92A3" w:rsidR="00EC17AD" w:rsidRPr="00950156" w:rsidRDefault="00EC17AD" w:rsidP="0089630A">
            <w:pPr>
              <w:rPr>
                <w:rFonts w:ascii="Helvetica" w:eastAsia="Times New Roman" w:hAnsi="Helvetica" w:cs="Arial"/>
                <w:sz w:val="18"/>
                <w:szCs w:val="18"/>
              </w:rPr>
            </w:pPr>
          </w:p>
        </w:tc>
        <w:tc>
          <w:tcPr>
            <w:tcW w:w="1607" w:type="dxa"/>
            <w:shd w:val="clear" w:color="auto" w:fill="auto"/>
            <w:vAlign w:val="center"/>
            <w:hideMark/>
          </w:tcPr>
          <w:p w14:paraId="44162945" w14:textId="5AE11565" w:rsidR="008A59C6" w:rsidRPr="00385620" w:rsidRDefault="008A59C6" w:rsidP="0089630A">
            <w:pPr>
              <w:rPr>
                <w:rFonts w:ascii="Helvetica" w:hAnsi="Helvetica" w:cs="Calibri"/>
                <w:color w:val="0070C0"/>
                <w:sz w:val="18"/>
                <w:szCs w:val="18"/>
              </w:rPr>
            </w:pPr>
            <w:r w:rsidRPr="00385620">
              <w:rPr>
                <w:rFonts w:ascii="Helvetica" w:eastAsia="Times New Roman" w:hAnsi="Helvetica" w:cs="Arial"/>
                <w:bCs/>
                <w:color w:val="0070C0"/>
                <w:sz w:val="18"/>
                <w:szCs w:val="18"/>
              </w:rPr>
              <w:t xml:space="preserve">[Indicator] </w:t>
            </w:r>
            <w:r w:rsidRPr="00385620">
              <w:rPr>
                <w:rFonts w:ascii="Helvetica" w:hAnsi="Helvetica" w:cs="Calibri"/>
                <w:color w:val="0070C0"/>
                <w:sz w:val="18"/>
                <w:szCs w:val="18"/>
              </w:rPr>
              <w:t>Average annual energy savings (kWh, kw, therms) per project building floor plan area</w:t>
            </w:r>
          </w:p>
          <w:p w14:paraId="54B56BE4" w14:textId="4F905D25" w:rsidR="008A59C6" w:rsidRPr="00950156" w:rsidRDefault="008A59C6" w:rsidP="0089630A">
            <w:pPr>
              <w:rPr>
                <w:rFonts w:ascii="Helvetica" w:eastAsia="Times New Roman" w:hAnsi="Helvetica" w:cs="Arial"/>
                <w:sz w:val="18"/>
                <w:szCs w:val="18"/>
              </w:rPr>
            </w:pPr>
          </w:p>
        </w:tc>
        <w:tc>
          <w:tcPr>
            <w:tcW w:w="1607" w:type="dxa"/>
            <w:shd w:val="clear" w:color="auto" w:fill="auto"/>
            <w:noWrap/>
            <w:vAlign w:val="bottom"/>
            <w:hideMark/>
          </w:tcPr>
          <w:p w14:paraId="4EF8ED68"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8" w:type="dxa"/>
            <w:shd w:val="clear" w:color="auto" w:fill="auto"/>
            <w:noWrap/>
            <w:vAlign w:val="bottom"/>
            <w:hideMark/>
          </w:tcPr>
          <w:p w14:paraId="3EB897FB"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r>
      <w:tr w:rsidR="007121D2" w:rsidRPr="007121D2" w14:paraId="59CEF133" w14:textId="77777777" w:rsidTr="00D30834">
        <w:trPr>
          <w:cantSplit/>
          <w:trHeight w:val="20"/>
        </w:trPr>
        <w:tc>
          <w:tcPr>
            <w:tcW w:w="1607" w:type="dxa"/>
            <w:shd w:val="clear" w:color="auto" w:fill="auto"/>
            <w:vAlign w:val="center"/>
            <w:hideMark/>
          </w:tcPr>
          <w:p w14:paraId="2999004D" w14:textId="26CB72F0" w:rsidR="00EC17AD" w:rsidRPr="007121D2" w:rsidRDefault="008447E6" w:rsidP="0089630A">
            <w:pPr>
              <w:rPr>
                <w:rFonts w:ascii="Helvetica" w:eastAsia="Times New Roman" w:hAnsi="Helvetica" w:cs="Arial"/>
                <w:sz w:val="18"/>
                <w:szCs w:val="18"/>
              </w:rPr>
            </w:pPr>
            <w:r w:rsidRPr="007121D2">
              <w:rPr>
                <w:rFonts w:ascii="Helvetica" w:eastAsia="Times New Roman" w:hAnsi="Helvetica" w:cs="Arial"/>
                <w:sz w:val="18"/>
                <w:szCs w:val="18"/>
              </w:rPr>
              <w:t xml:space="preserve">P1: </w:t>
            </w:r>
            <w:r w:rsidR="00EC17AD" w:rsidRPr="007121D2">
              <w:rPr>
                <w:rFonts w:ascii="Helvetica" w:eastAsia="Times New Roman" w:hAnsi="Helvetica" w:cs="Arial"/>
                <w:sz w:val="18"/>
                <w:szCs w:val="18"/>
              </w:rPr>
              <w:t>Penetration of energy efficiency programs in the eligible market</w:t>
            </w:r>
            <w:r w:rsidR="00EC17AD" w:rsidRPr="007121D2">
              <w:rPr>
                <w:rFonts w:ascii="Helvetica" w:eastAsia="Times New Roman" w:hAnsi="Helvetica" w:cs="Arial"/>
                <w:sz w:val="18"/>
                <w:szCs w:val="18"/>
              </w:rPr>
              <w:br w:type="page"/>
            </w:r>
            <w:r w:rsidR="00EC17AD" w:rsidRPr="007121D2">
              <w:rPr>
                <w:rFonts w:ascii="Helvetica" w:eastAsia="Times New Roman" w:hAnsi="Helvetica" w:cs="Arial"/>
                <w:b/>
                <w:bCs/>
                <w:sz w:val="18"/>
                <w:szCs w:val="18"/>
              </w:rPr>
              <w:t>Percent of Participation</w:t>
            </w:r>
          </w:p>
        </w:tc>
        <w:tc>
          <w:tcPr>
            <w:tcW w:w="1607" w:type="dxa"/>
            <w:shd w:val="clear" w:color="auto" w:fill="auto"/>
            <w:noWrap/>
            <w:vAlign w:val="bottom"/>
            <w:hideMark/>
          </w:tcPr>
          <w:p w14:paraId="6DAD5845"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vAlign w:val="center"/>
            <w:hideMark/>
          </w:tcPr>
          <w:p w14:paraId="084C4679" w14:textId="77777777" w:rsidR="00876F9C" w:rsidRPr="00950156" w:rsidRDefault="00876F9C" w:rsidP="0089630A">
            <w:pPr>
              <w:rPr>
                <w:rFonts w:ascii="Helvetica" w:hAnsi="Helvetica" w:cs="Calibri"/>
                <w:sz w:val="18"/>
                <w:szCs w:val="18"/>
              </w:rPr>
            </w:pPr>
            <w:r w:rsidRPr="00950156">
              <w:rPr>
                <w:rFonts w:ascii="Helvetica" w:hAnsi="Helvetica" w:cs="Calibri"/>
                <w:sz w:val="18"/>
                <w:szCs w:val="18"/>
              </w:rPr>
              <w:t>Percent of participation relative to eligible</w:t>
            </w:r>
            <w:r w:rsidRPr="00950156">
              <w:rPr>
                <w:rFonts w:ascii="Helvetica" w:hAnsi="Helvetica" w:cs="Calibri"/>
                <w:sz w:val="18"/>
                <w:szCs w:val="18"/>
              </w:rPr>
              <w:br/>
              <w:t>population</w:t>
            </w:r>
          </w:p>
          <w:p w14:paraId="2E204827" w14:textId="75DAA571" w:rsidR="00876F9C" w:rsidRPr="00950156" w:rsidRDefault="00876F9C" w:rsidP="0089630A">
            <w:pPr>
              <w:rPr>
                <w:rFonts w:ascii="Helvetica" w:eastAsia="Times New Roman" w:hAnsi="Helvetica" w:cs="Arial"/>
                <w:sz w:val="18"/>
                <w:szCs w:val="18"/>
              </w:rPr>
            </w:pPr>
          </w:p>
        </w:tc>
        <w:tc>
          <w:tcPr>
            <w:tcW w:w="1607" w:type="dxa"/>
            <w:shd w:val="clear" w:color="auto" w:fill="auto"/>
            <w:vAlign w:val="center"/>
            <w:hideMark/>
          </w:tcPr>
          <w:p w14:paraId="2ED50DAF" w14:textId="77777777" w:rsidR="00EF3C5C" w:rsidRPr="00950156" w:rsidRDefault="00EF3C5C" w:rsidP="0089630A">
            <w:pPr>
              <w:rPr>
                <w:rFonts w:ascii="Helvetica" w:hAnsi="Helvetica" w:cs="Calibri"/>
                <w:sz w:val="18"/>
                <w:szCs w:val="18"/>
              </w:rPr>
            </w:pPr>
            <w:r w:rsidRPr="00950156">
              <w:rPr>
                <w:rFonts w:ascii="Helvetica" w:hAnsi="Helvetica" w:cs="Calibri"/>
                <w:sz w:val="18"/>
                <w:szCs w:val="18"/>
              </w:rPr>
              <w:t xml:space="preserve">Percent of participation relative to eligible population (by unit, and </w:t>
            </w:r>
            <w:r w:rsidRPr="00867FA7">
              <w:rPr>
                <w:rFonts w:ascii="Helvetica" w:hAnsi="Helvetica" w:cs="Calibri"/>
                <w:sz w:val="18"/>
                <w:szCs w:val="18"/>
                <w:highlight w:val="yellow"/>
              </w:rPr>
              <w:t>property</w:t>
            </w:r>
            <w:r w:rsidRPr="00950156">
              <w:rPr>
                <w:rFonts w:ascii="Helvetica" w:hAnsi="Helvetica" w:cs="Calibri"/>
                <w:sz w:val="18"/>
                <w:szCs w:val="18"/>
              </w:rPr>
              <w:t>)</w:t>
            </w:r>
          </w:p>
          <w:p w14:paraId="277CC807" w14:textId="63971D27" w:rsidR="00EF3C5C" w:rsidRPr="00950156" w:rsidRDefault="00EF3C5C" w:rsidP="0089630A">
            <w:pPr>
              <w:rPr>
                <w:rFonts w:ascii="Helvetica" w:eastAsia="Times New Roman" w:hAnsi="Helvetica" w:cs="Arial"/>
                <w:sz w:val="18"/>
                <w:szCs w:val="18"/>
              </w:rPr>
            </w:pPr>
          </w:p>
        </w:tc>
        <w:tc>
          <w:tcPr>
            <w:tcW w:w="1607" w:type="dxa"/>
            <w:shd w:val="clear" w:color="auto" w:fill="auto"/>
            <w:vAlign w:val="center"/>
            <w:hideMark/>
          </w:tcPr>
          <w:p w14:paraId="044C557C" w14:textId="77777777" w:rsidR="005559EB" w:rsidRPr="00950156" w:rsidRDefault="005559EB" w:rsidP="0089630A">
            <w:pPr>
              <w:rPr>
                <w:rFonts w:ascii="Helvetica" w:hAnsi="Helvetica" w:cs="Calibri"/>
                <w:sz w:val="18"/>
                <w:szCs w:val="18"/>
              </w:rPr>
            </w:pPr>
            <w:r w:rsidRPr="00950156">
              <w:rPr>
                <w:rFonts w:ascii="Helvetica" w:hAnsi="Helvetica" w:cs="Calibri"/>
                <w:sz w:val="18"/>
                <w:szCs w:val="18"/>
              </w:rPr>
              <w:t>Percent of participation relative to eligible</w:t>
            </w:r>
            <w:r w:rsidRPr="00950156">
              <w:rPr>
                <w:rFonts w:ascii="Helvetica" w:hAnsi="Helvetica" w:cs="Calibri"/>
                <w:sz w:val="18"/>
                <w:szCs w:val="18"/>
              </w:rPr>
              <w:br/>
              <w:t>population for small, medium, and large</w:t>
            </w:r>
            <w:r w:rsidRPr="00950156">
              <w:rPr>
                <w:rFonts w:ascii="Helvetica" w:hAnsi="Helvetica" w:cs="Calibri"/>
                <w:sz w:val="18"/>
                <w:szCs w:val="18"/>
              </w:rPr>
              <w:br/>
              <w:t>customers</w:t>
            </w:r>
          </w:p>
          <w:p w14:paraId="79126F6F" w14:textId="7118F189" w:rsidR="005559EB" w:rsidRPr="00950156" w:rsidRDefault="005559EB" w:rsidP="0089630A">
            <w:pPr>
              <w:rPr>
                <w:rFonts w:ascii="Helvetica" w:eastAsia="Times New Roman" w:hAnsi="Helvetica" w:cs="Arial"/>
                <w:sz w:val="18"/>
                <w:szCs w:val="18"/>
              </w:rPr>
            </w:pPr>
          </w:p>
        </w:tc>
        <w:tc>
          <w:tcPr>
            <w:tcW w:w="1607" w:type="dxa"/>
            <w:shd w:val="clear" w:color="auto" w:fill="auto"/>
            <w:vAlign w:val="center"/>
            <w:hideMark/>
          </w:tcPr>
          <w:p w14:paraId="6E59D66C" w14:textId="77777777" w:rsidR="00FA4C38" w:rsidRPr="00950156" w:rsidRDefault="00FA4C38" w:rsidP="0089630A">
            <w:pPr>
              <w:rPr>
                <w:rFonts w:ascii="Helvetica" w:hAnsi="Helvetica" w:cs="Calibri"/>
                <w:sz w:val="18"/>
                <w:szCs w:val="18"/>
              </w:rPr>
            </w:pPr>
            <w:r w:rsidRPr="00950156">
              <w:rPr>
                <w:rFonts w:ascii="Helvetica" w:hAnsi="Helvetica" w:cs="Calibri"/>
                <w:sz w:val="18"/>
                <w:szCs w:val="18"/>
              </w:rPr>
              <w:t>Percent of Public Sector accounts participating in</w:t>
            </w:r>
            <w:r w:rsidRPr="00950156">
              <w:rPr>
                <w:rFonts w:ascii="Helvetica" w:hAnsi="Helvetica" w:cs="Calibri"/>
                <w:sz w:val="18"/>
                <w:szCs w:val="18"/>
              </w:rPr>
              <w:br/>
              <w:t>programs</w:t>
            </w:r>
          </w:p>
          <w:p w14:paraId="5349ECAF" w14:textId="000F7251" w:rsidR="00FA4C38" w:rsidRPr="00950156" w:rsidRDefault="00FA4C38" w:rsidP="0089630A">
            <w:pPr>
              <w:rPr>
                <w:rFonts w:ascii="Helvetica" w:eastAsia="Times New Roman" w:hAnsi="Helvetica" w:cs="Arial"/>
                <w:sz w:val="18"/>
                <w:szCs w:val="18"/>
              </w:rPr>
            </w:pPr>
          </w:p>
        </w:tc>
        <w:tc>
          <w:tcPr>
            <w:tcW w:w="1607" w:type="dxa"/>
            <w:shd w:val="clear" w:color="auto" w:fill="auto"/>
            <w:vAlign w:val="center"/>
            <w:hideMark/>
          </w:tcPr>
          <w:p w14:paraId="25CCC8EC" w14:textId="77777777" w:rsidR="00F66EDA" w:rsidRPr="00950156" w:rsidRDefault="00F66EDA" w:rsidP="0089630A">
            <w:pPr>
              <w:rPr>
                <w:rFonts w:ascii="Helvetica" w:hAnsi="Helvetica" w:cs="Calibri"/>
                <w:sz w:val="18"/>
                <w:szCs w:val="18"/>
              </w:rPr>
            </w:pPr>
            <w:r w:rsidRPr="00950156">
              <w:rPr>
                <w:rFonts w:ascii="Helvetica" w:hAnsi="Helvetica" w:cs="Calibri"/>
                <w:sz w:val="18"/>
                <w:szCs w:val="18"/>
              </w:rPr>
              <w:t>Percent of participation relative to eligible population for small, medium and large customers</w:t>
            </w:r>
          </w:p>
          <w:p w14:paraId="5609DD0D" w14:textId="0F53B259" w:rsidR="00F66EDA" w:rsidRPr="00950156" w:rsidRDefault="00F66EDA" w:rsidP="0089630A">
            <w:pPr>
              <w:rPr>
                <w:rFonts w:ascii="Helvetica" w:eastAsia="Times New Roman" w:hAnsi="Helvetica" w:cs="Arial"/>
                <w:sz w:val="18"/>
                <w:szCs w:val="18"/>
              </w:rPr>
            </w:pPr>
          </w:p>
        </w:tc>
        <w:tc>
          <w:tcPr>
            <w:tcW w:w="1608" w:type="dxa"/>
            <w:shd w:val="clear" w:color="auto" w:fill="auto"/>
            <w:vAlign w:val="center"/>
          </w:tcPr>
          <w:p w14:paraId="5A5096D2" w14:textId="77777777" w:rsidR="004A144E" w:rsidRPr="00950156" w:rsidRDefault="004A144E" w:rsidP="004A144E">
            <w:pPr>
              <w:rPr>
                <w:rFonts w:ascii="Helvetica" w:hAnsi="Helvetica" w:cs="Calibri"/>
                <w:sz w:val="18"/>
                <w:szCs w:val="18"/>
              </w:rPr>
            </w:pPr>
            <w:r w:rsidRPr="00E152C3">
              <w:rPr>
                <w:rFonts w:ascii="Helvetica" w:hAnsi="Helvetica" w:cs="Calibri"/>
                <w:sz w:val="18"/>
                <w:szCs w:val="18"/>
              </w:rPr>
              <w:t>Percent of participation relative to eligible population for small, medium and large customers</w:t>
            </w:r>
          </w:p>
          <w:p w14:paraId="53720FA4" w14:textId="052F7087" w:rsidR="00EC17AD" w:rsidRPr="00950156" w:rsidRDefault="00EC17AD" w:rsidP="0089630A">
            <w:pPr>
              <w:rPr>
                <w:rFonts w:ascii="Helvetica" w:eastAsia="Times New Roman" w:hAnsi="Helvetica" w:cs="Arial"/>
                <w:sz w:val="18"/>
                <w:szCs w:val="18"/>
              </w:rPr>
            </w:pPr>
          </w:p>
        </w:tc>
      </w:tr>
      <w:tr w:rsidR="007121D2" w:rsidRPr="007121D2" w14:paraId="00A21B93" w14:textId="77777777" w:rsidTr="00D30834">
        <w:trPr>
          <w:cantSplit/>
          <w:trHeight w:val="20"/>
        </w:trPr>
        <w:tc>
          <w:tcPr>
            <w:tcW w:w="1607" w:type="dxa"/>
            <w:shd w:val="clear" w:color="auto" w:fill="auto"/>
            <w:vAlign w:val="center"/>
            <w:hideMark/>
          </w:tcPr>
          <w:p w14:paraId="73081D92" w14:textId="60281B8C" w:rsidR="00EC17AD" w:rsidRPr="007121D2" w:rsidRDefault="008447E6" w:rsidP="0089630A">
            <w:pPr>
              <w:rPr>
                <w:rFonts w:ascii="Helvetica" w:eastAsia="Times New Roman" w:hAnsi="Helvetica" w:cs="Arial"/>
                <w:sz w:val="18"/>
                <w:szCs w:val="18"/>
              </w:rPr>
            </w:pPr>
            <w:r w:rsidRPr="007121D2">
              <w:rPr>
                <w:rFonts w:ascii="Helvetica" w:eastAsia="Times New Roman" w:hAnsi="Helvetica" w:cs="Arial"/>
                <w:sz w:val="18"/>
                <w:szCs w:val="18"/>
              </w:rPr>
              <w:lastRenderedPageBreak/>
              <w:t xml:space="preserve">P2: </w:t>
            </w:r>
            <w:r w:rsidR="00EC17AD" w:rsidRPr="007121D2">
              <w:rPr>
                <w:rFonts w:ascii="Helvetica" w:eastAsia="Times New Roman" w:hAnsi="Helvetica" w:cs="Arial"/>
                <w:sz w:val="18"/>
                <w:szCs w:val="18"/>
              </w:rPr>
              <w:t>Penetration of energy efficiency programs in the eligible market</w:t>
            </w:r>
            <w:r w:rsidR="00EC17AD" w:rsidRPr="007121D2">
              <w:rPr>
                <w:rFonts w:ascii="Helvetica" w:eastAsia="Times New Roman" w:hAnsi="Helvetica" w:cs="Arial"/>
                <w:sz w:val="18"/>
                <w:szCs w:val="18"/>
              </w:rPr>
              <w:br/>
            </w:r>
            <w:r w:rsidR="00EC17AD" w:rsidRPr="007121D2">
              <w:rPr>
                <w:rFonts w:ascii="Helvetica" w:eastAsia="Times New Roman" w:hAnsi="Helvetica" w:cs="Arial"/>
                <w:b/>
                <w:bCs/>
                <w:sz w:val="18"/>
                <w:szCs w:val="18"/>
              </w:rPr>
              <w:t>Percent of square feet of eligible population</w:t>
            </w:r>
          </w:p>
        </w:tc>
        <w:tc>
          <w:tcPr>
            <w:tcW w:w="1607" w:type="dxa"/>
            <w:shd w:val="clear" w:color="auto" w:fill="auto"/>
            <w:noWrap/>
            <w:vAlign w:val="bottom"/>
            <w:hideMark/>
          </w:tcPr>
          <w:p w14:paraId="19636766"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noWrap/>
            <w:vAlign w:val="bottom"/>
            <w:hideMark/>
          </w:tcPr>
          <w:p w14:paraId="15826330"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vAlign w:val="center"/>
            <w:hideMark/>
          </w:tcPr>
          <w:p w14:paraId="2E365BB1" w14:textId="77777777" w:rsidR="00F14236" w:rsidRPr="00950156" w:rsidRDefault="00F14236" w:rsidP="0089630A">
            <w:pPr>
              <w:rPr>
                <w:rFonts w:ascii="Helvetica" w:hAnsi="Helvetica" w:cs="Calibri"/>
                <w:sz w:val="18"/>
                <w:szCs w:val="18"/>
              </w:rPr>
            </w:pPr>
            <w:r w:rsidRPr="00950156">
              <w:rPr>
                <w:rFonts w:ascii="Helvetica" w:hAnsi="Helvetica" w:cs="Calibri"/>
                <w:sz w:val="18"/>
                <w:szCs w:val="18"/>
              </w:rPr>
              <w:t>Percent of square feet of eligible population participating (by property)</w:t>
            </w:r>
          </w:p>
          <w:p w14:paraId="4623E594" w14:textId="7D3BDC99" w:rsidR="00F14236" w:rsidRPr="00950156" w:rsidRDefault="00F14236" w:rsidP="0089630A">
            <w:pPr>
              <w:rPr>
                <w:rFonts w:ascii="Helvetica" w:eastAsia="Times New Roman" w:hAnsi="Helvetica" w:cs="Arial"/>
                <w:sz w:val="18"/>
                <w:szCs w:val="18"/>
              </w:rPr>
            </w:pPr>
          </w:p>
        </w:tc>
        <w:tc>
          <w:tcPr>
            <w:tcW w:w="1607" w:type="dxa"/>
            <w:shd w:val="clear" w:color="auto" w:fill="auto"/>
            <w:vAlign w:val="center"/>
            <w:hideMark/>
          </w:tcPr>
          <w:p w14:paraId="2160FD80" w14:textId="77777777" w:rsidR="00AB7053" w:rsidRPr="00950156" w:rsidRDefault="00AB7053" w:rsidP="0089630A">
            <w:pPr>
              <w:rPr>
                <w:rFonts w:ascii="Helvetica" w:hAnsi="Helvetica" w:cs="Calibri"/>
                <w:sz w:val="18"/>
                <w:szCs w:val="18"/>
              </w:rPr>
            </w:pPr>
            <w:r w:rsidRPr="00950156">
              <w:rPr>
                <w:rFonts w:ascii="Helvetica" w:hAnsi="Helvetica" w:cs="Calibri"/>
                <w:sz w:val="18"/>
                <w:szCs w:val="18"/>
              </w:rPr>
              <w:t>Percent of square feet of eligible population</w:t>
            </w:r>
          </w:p>
          <w:p w14:paraId="6A2B40FF" w14:textId="43204C70" w:rsidR="00AB7053" w:rsidRPr="00950156" w:rsidRDefault="00AB7053" w:rsidP="0089630A">
            <w:pPr>
              <w:rPr>
                <w:rFonts w:ascii="Helvetica" w:eastAsia="Times New Roman" w:hAnsi="Helvetica" w:cs="Arial"/>
                <w:sz w:val="18"/>
                <w:szCs w:val="18"/>
              </w:rPr>
            </w:pPr>
          </w:p>
        </w:tc>
        <w:tc>
          <w:tcPr>
            <w:tcW w:w="1607" w:type="dxa"/>
            <w:shd w:val="clear" w:color="auto" w:fill="auto"/>
            <w:vAlign w:val="center"/>
            <w:hideMark/>
          </w:tcPr>
          <w:p w14:paraId="5C6946E4" w14:textId="3FDEA15C" w:rsidR="00851FB3" w:rsidRPr="00385620" w:rsidRDefault="00851FB3" w:rsidP="0089630A">
            <w:pPr>
              <w:rPr>
                <w:rFonts w:ascii="Helvetica" w:hAnsi="Helvetica" w:cs="Calibri"/>
                <w:color w:val="0070C0"/>
                <w:sz w:val="18"/>
                <w:szCs w:val="18"/>
              </w:rPr>
            </w:pPr>
            <w:r w:rsidRPr="00385620">
              <w:rPr>
                <w:rFonts w:ascii="Helvetica" w:eastAsia="Times New Roman" w:hAnsi="Helvetica" w:cs="Arial"/>
                <w:color w:val="0070C0"/>
                <w:sz w:val="18"/>
                <w:szCs w:val="18"/>
              </w:rPr>
              <w:t>[Indicator]</w:t>
            </w:r>
            <w:r w:rsidR="00385620" w:rsidRPr="00385620">
              <w:rPr>
                <w:rFonts w:ascii="Helvetica" w:eastAsia="Times New Roman" w:hAnsi="Helvetica" w:cs="Arial"/>
                <w:color w:val="0070C0"/>
                <w:sz w:val="18"/>
                <w:szCs w:val="18"/>
              </w:rPr>
              <w:t xml:space="preserve"> </w:t>
            </w:r>
            <w:r w:rsidRPr="00385620">
              <w:rPr>
                <w:rFonts w:ascii="Helvetica" w:hAnsi="Helvetica" w:cs="Calibri"/>
                <w:color w:val="0070C0"/>
                <w:sz w:val="18"/>
                <w:szCs w:val="18"/>
              </w:rPr>
              <w:t xml:space="preserve">Percent of </w:t>
            </w:r>
            <w:r w:rsidRPr="00867FA7">
              <w:rPr>
                <w:rFonts w:ascii="Helvetica" w:hAnsi="Helvetica" w:cs="Calibri"/>
                <w:color w:val="0070C0"/>
                <w:sz w:val="18"/>
                <w:szCs w:val="18"/>
                <w:highlight w:val="yellow"/>
              </w:rPr>
              <w:t>estimated</w:t>
            </w:r>
            <w:r w:rsidRPr="00385620">
              <w:rPr>
                <w:rFonts w:ascii="Helvetica" w:hAnsi="Helvetica" w:cs="Calibri"/>
                <w:color w:val="0070C0"/>
                <w:sz w:val="18"/>
                <w:szCs w:val="18"/>
              </w:rPr>
              <w:t xml:space="preserve"> floorplan area (i.e., ft2) of all</w:t>
            </w:r>
            <w:r w:rsidRPr="00385620">
              <w:rPr>
                <w:rFonts w:ascii="Helvetica" w:hAnsi="Helvetica" w:cs="Calibri"/>
                <w:color w:val="0070C0"/>
                <w:sz w:val="18"/>
                <w:szCs w:val="18"/>
              </w:rPr>
              <w:br/>
              <w:t xml:space="preserve">Public Sector buildings participating </w:t>
            </w:r>
            <w:r w:rsidRPr="00867FA7">
              <w:rPr>
                <w:rFonts w:ascii="Helvetica" w:hAnsi="Helvetica" w:cs="Calibri"/>
                <w:color w:val="0070C0"/>
                <w:sz w:val="18"/>
                <w:szCs w:val="18"/>
                <w:highlight w:val="yellow"/>
              </w:rPr>
              <w:t>in building</w:t>
            </w:r>
            <w:r w:rsidRPr="00867FA7">
              <w:rPr>
                <w:rFonts w:ascii="Helvetica" w:hAnsi="Helvetica" w:cs="Calibri"/>
                <w:color w:val="0070C0"/>
                <w:sz w:val="18"/>
                <w:szCs w:val="18"/>
                <w:highlight w:val="yellow"/>
              </w:rPr>
              <w:br/>
              <w:t>projects—estimate within +/‐15% of sector‐wide</w:t>
            </w:r>
            <w:r w:rsidRPr="00867FA7">
              <w:rPr>
                <w:rFonts w:ascii="Helvetica" w:hAnsi="Helvetica" w:cs="Calibri"/>
                <w:color w:val="0070C0"/>
                <w:sz w:val="18"/>
                <w:szCs w:val="18"/>
                <w:highlight w:val="yellow"/>
              </w:rPr>
              <w:br/>
              <w:t>building area, +/‐5% of project building area</w:t>
            </w:r>
          </w:p>
          <w:p w14:paraId="18695580" w14:textId="7E42EF6A" w:rsidR="00851FB3" w:rsidRPr="00950156" w:rsidRDefault="00851FB3" w:rsidP="0089630A">
            <w:pPr>
              <w:rPr>
                <w:rFonts w:ascii="Helvetica" w:eastAsia="Times New Roman" w:hAnsi="Helvetica" w:cs="Arial"/>
                <w:sz w:val="18"/>
                <w:szCs w:val="18"/>
              </w:rPr>
            </w:pPr>
          </w:p>
        </w:tc>
        <w:tc>
          <w:tcPr>
            <w:tcW w:w="1607" w:type="dxa"/>
            <w:shd w:val="clear" w:color="auto" w:fill="auto"/>
            <w:noWrap/>
            <w:vAlign w:val="bottom"/>
            <w:hideMark/>
          </w:tcPr>
          <w:p w14:paraId="1C01C154"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8" w:type="dxa"/>
            <w:shd w:val="clear" w:color="auto" w:fill="auto"/>
            <w:noWrap/>
            <w:vAlign w:val="bottom"/>
            <w:hideMark/>
          </w:tcPr>
          <w:p w14:paraId="0A628557"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r>
      <w:tr w:rsidR="007121D2" w:rsidRPr="007121D2" w14:paraId="1B9B8D0B" w14:textId="77777777" w:rsidTr="00D30834">
        <w:trPr>
          <w:cantSplit/>
          <w:trHeight w:val="20"/>
        </w:trPr>
        <w:tc>
          <w:tcPr>
            <w:tcW w:w="1607" w:type="dxa"/>
            <w:shd w:val="clear" w:color="auto" w:fill="auto"/>
            <w:vAlign w:val="center"/>
            <w:hideMark/>
          </w:tcPr>
          <w:p w14:paraId="66087605" w14:textId="039E2537" w:rsidR="00EC17AD" w:rsidRPr="007121D2" w:rsidRDefault="008447E6" w:rsidP="0089630A">
            <w:pPr>
              <w:rPr>
                <w:rFonts w:ascii="Helvetica" w:eastAsia="Times New Roman" w:hAnsi="Helvetica" w:cs="Arial"/>
                <w:sz w:val="18"/>
                <w:szCs w:val="18"/>
              </w:rPr>
            </w:pPr>
            <w:r w:rsidRPr="007121D2">
              <w:rPr>
                <w:rFonts w:ascii="Helvetica" w:eastAsia="Times New Roman" w:hAnsi="Helvetica" w:cs="Arial"/>
                <w:sz w:val="18"/>
                <w:szCs w:val="18"/>
              </w:rPr>
              <w:t xml:space="preserve">P3: </w:t>
            </w:r>
            <w:r w:rsidR="00EC17AD" w:rsidRPr="007121D2">
              <w:rPr>
                <w:rFonts w:ascii="Helvetica" w:eastAsia="Times New Roman" w:hAnsi="Helvetica" w:cs="Arial"/>
                <w:sz w:val="18"/>
                <w:szCs w:val="18"/>
              </w:rPr>
              <w:t>Penetration of energy efficiency programs in the eligible market</w:t>
            </w:r>
            <w:r w:rsidR="00EC17AD" w:rsidRPr="007121D2">
              <w:rPr>
                <w:rFonts w:ascii="Helvetica" w:eastAsia="Times New Roman" w:hAnsi="Helvetica" w:cs="Arial"/>
                <w:sz w:val="18"/>
                <w:szCs w:val="18"/>
              </w:rPr>
              <w:br/>
            </w:r>
            <w:r w:rsidR="00EC17AD" w:rsidRPr="007121D2">
              <w:rPr>
                <w:rFonts w:ascii="Helvetica" w:eastAsia="Times New Roman" w:hAnsi="Helvetica" w:cs="Arial"/>
                <w:b/>
                <w:bCs/>
                <w:sz w:val="18"/>
                <w:szCs w:val="18"/>
              </w:rPr>
              <w:t>Disadvantaged communities</w:t>
            </w:r>
          </w:p>
        </w:tc>
        <w:tc>
          <w:tcPr>
            <w:tcW w:w="1607" w:type="dxa"/>
            <w:shd w:val="clear" w:color="auto" w:fill="auto"/>
            <w:noWrap/>
            <w:vAlign w:val="bottom"/>
            <w:hideMark/>
          </w:tcPr>
          <w:p w14:paraId="6DA490AE"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vAlign w:val="center"/>
            <w:hideMark/>
          </w:tcPr>
          <w:p w14:paraId="0AD289EC" w14:textId="77777777" w:rsidR="00876F9C" w:rsidRPr="00950156" w:rsidRDefault="00876F9C" w:rsidP="0089630A">
            <w:pPr>
              <w:rPr>
                <w:rFonts w:ascii="Helvetica" w:hAnsi="Helvetica" w:cs="Calibri"/>
                <w:sz w:val="18"/>
                <w:szCs w:val="18"/>
              </w:rPr>
            </w:pPr>
            <w:r w:rsidRPr="00950156">
              <w:rPr>
                <w:rFonts w:ascii="Helvetica" w:hAnsi="Helvetica" w:cs="Calibri"/>
                <w:sz w:val="18"/>
                <w:szCs w:val="18"/>
              </w:rPr>
              <w:t>Percent of participation in disadvantaged</w:t>
            </w:r>
            <w:r w:rsidRPr="00950156">
              <w:rPr>
                <w:rFonts w:ascii="Helvetica" w:hAnsi="Helvetica" w:cs="Calibri"/>
                <w:sz w:val="18"/>
                <w:szCs w:val="18"/>
              </w:rPr>
              <w:br/>
              <w:t>communities</w:t>
            </w:r>
          </w:p>
          <w:p w14:paraId="5D4F59F9" w14:textId="047BC95F" w:rsidR="00876F9C" w:rsidRPr="00950156" w:rsidRDefault="00876F9C" w:rsidP="0089630A">
            <w:pPr>
              <w:rPr>
                <w:rFonts w:ascii="Helvetica" w:eastAsia="Times New Roman" w:hAnsi="Helvetica" w:cs="Arial"/>
                <w:sz w:val="18"/>
                <w:szCs w:val="18"/>
              </w:rPr>
            </w:pPr>
          </w:p>
        </w:tc>
        <w:tc>
          <w:tcPr>
            <w:tcW w:w="1607" w:type="dxa"/>
            <w:shd w:val="clear" w:color="auto" w:fill="auto"/>
            <w:vAlign w:val="center"/>
            <w:hideMark/>
          </w:tcPr>
          <w:p w14:paraId="538BA642" w14:textId="77777777" w:rsidR="00DE3A26" w:rsidRPr="00950156" w:rsidRDefault="00DE3A26" w:rsidP="0089630A">
            <w:pPr>
              <w:rPr>
                <w:rFonts w:ascii="Helvetica" w:hAnsi="Helvetica" w:cs="Calibri"/>
                <w:sz w:val="18"/>
                <w:szCs w:val="18"/>
              </w:rPr>
            </w:pPr>
            <w:r w:rsidRPr="00950156">
              <w:rPr>
                <w:rFonts w:ascii="Helvetica" w:hAnsi="Helvetica" w:cs="Calibri"/>
                <w:sz w:val="18"/>
                <w:szCs w:val="18"/>
              </w:rPr>
              <w:t>Percent of participation in disadvantaged communities</w:t>
            </w:r>
          </w:p>
          <w:p w14:paraId="483B7B8D" w14:textId="6EF46F2C" w:rsidR="00DE3A26" w:rsidRPr="00950156" w:rsidRDefault="00DE3A26" w:rsidP="0089630A">
            <w:pPr>
              <w:rPr>
                <w:rFonts w:ascii="Helvetica" w:eastAsia="Times New Roman" w:hAnsi="Helvetica" w:cs="Arial"/>
                <w:sz w:val="18"/>
                <w:szCs w:val="18"/>
              </w:rPr>
            </w:pPr>
          </w:p>
        </w:tc>
        <w:tc>
          <w:tcPr>
            <w:tcW w:w="1607" w:type="dxa"/>
            <w:shd w:val="clear" w:color="auto" w:fill="auto"/>
            <w:noWrap/>
            <w:vAlign w:val="bottom"/>
            <w:hideMark/>
          </w:tcPr>
          <w:p w14:paraId="2CFF9EC0"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noWrap/>
            <w:vAlign w:val="bottom"/>
            <w:hideMark/>
          </w:tcPr>
          <w:p w14:paraId="6579ED03"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noWrap/>
            <w:vAlign w:val="bottom"/>
            <w:hideMark/>
          </w:tcPr>
          <w:p w14:paraId="11866DF3"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8" w:type="dxa"/>
            <w:shd w:val="clear" w:color="auto" w:fill="auto"/>
            <w:noWrap/>
            <w:vAlign w:val="bottom"/>
            <w:hideMark/>
          </w:tcPr>
          <w:p w14:paraId="6D34BF4B"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r>
      <w:tr w:rsidR="007121D2" w:rsidRPr="007121D2" w14:paraId="1F3115B3" w14:textId="77777777" w:rsidTr="00593E74">
        <w:trPr>
          <w:cantSplit/>
          <w:trHeight w:val="20"/>
        </w:trPr>
        <w:tc>
          <w:tcPr>
            <w:tcW w:w="1607" w:type="dxa"/>
            <w:shd w:val="clear" w:color="auto" w:fill="auto"/>
            <w:vAlign w:val="center"/>
            <w:hideMark/>
          </w:tcPr>
          <w:p w14:paraId="397EAEF2" w14:textId="55857E14" w:rsidR="00EC17AD" w:rsidRPr="007121D2" w:rsidRDefault="008447E6" w:rsidP="0089630A">
            <w:pPr>
              <w:rPr>
                <w:rFonts w:ascii="Helvetica" w:eastAsia="Times New Roman" w:hAnsi="Helvetica" w:cs="Arial"/>
                <w:sz w:val="18"/>
                <w:szCs w:val="18"/>
              </w:rPr>
            </w:pPr>
            <w:r w:rsidRPr="007121D2">
              <w:rPr>
                <w:rFonts w:ascii="Helvetica" w:eastAsia="Times New Roman" w:hAnsi="Helvetica" w:cs="Arial"/>
                <w:sz w:val="18"/>
                <w:szCs w:val="18"/>
              </w:rPr>
              <w:t xml:space="preserve">P4: </w:t>
            </w:r>
            <w:r w:rsidR="00EC17AD" w:rsidRPr="007121D2">
              <w:rPr>
                <w:rFonts w:ascii="Helvetica" w:eastAsia="Times New Roman" w:hAnsi="Helvetica" w:cs="Arial"/>
                <w:sz w:val="18"/>
                <w:szCs w:val="18"/>
              </w:rPr>
              <w:t>Penetration of energy efficiency programs in the eligible market</w:t>
            </w:r>
            <w:r w:rsidR="00EC17AD" w:rsidRPr="007121D2">
              <w:rPr>
                <w:rFonts w:ascii="Helvetica" w:eastAsia="Times New Roman" w:hAnsi="Helvetica" w:cs="Arial"/>
                <w:sz w:val="18"/>
                <w:szCs w:val="18"/>
              </w:rPr>
              <w:br/>
            </w:r>
            <w:r w:rsidR="00EC17AD" w:rsidRPr="007121D2">
              <w:rPr>
                <w:rFonts w:ascii="Helvetica" w:eastAsia="Times New Roman" w:hAnsi="Helvetica" w:cs="Arial"/>
                <w:b/>
                <w:bCs/>
                <w:sz w:val="18"/>
                <w:szCs w:val="18"/>
              </w:rPr>
              <w:t>Hard to reach</w:t>
            </w:r>
          </w:p>
        </w:tc>
        <w:tc>
          <w:tcPr>
            <w:tcW w:w="1607" w:type="dxa"/>
            <w:shd w:val="clear" w:color="auto" w:fill="auto"/>
            <w:noWrap/>
            <w:vAlign w:val="bottom"/>
            <w:hideMark/>
          </w:tcPr>
          <w:p w14:paraId="4C0A4C7C"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vAlign w:val="center"/>
            <w:hideMark/>
          </w:tcPr>
          <w:p w14:paraId="12DD90F0" w14:textId="77777777" w:rsidR="00A26914" w:rsidRPr="00950156" w:rsidRDefault="00A26914" w:rsidP="0089630A">
            <w:pPr>
              <w:rPr>
                <w:rFonts w:ascii="Helvetica" w:hAnsi="Helvetica" w:cs="Calibri"/>
                <w:sz w:val="18"/>
                <w:szCs w:val="18"/>
              </w:rPr>
            </w:pPr>
            <w:r w:rsidRPr="00950156">
              <w:rPr>
                <w:rFonts w:ascii="Helvetica" w:hAnsi="Helvetica" w:cs="Calibri"/>
                <w:sz w:val="18"/>
                <w:szCs w:val="18"/>
              </w:rPr>
              <w:t>Percent of participation by customers defined as</w:t>
            </w:r>
            <w:r w:rsidRPr="00950156">
              <w:rPr>
                <w:rFonts w:ascii="Helvetica" w:hAnsi="Helvetica" w:cs="Calibri"/>
                <w:sz w:val="18"/>
                <w:szCs w:val="18"/>
              </w:rPr>
              <w:br/>
              <w:t>“hard‐to‐reach”</w:t>
            </w:r>
          </w:p>
          <w:p w14:paraId="42251154" w14:textId="3D3084D2" w:rsidR="00A26914" w:rsidRPr="00950156" w:rsidRDefault="00A26914" w:rsidP="0089630A">
            <w:pPr>
              <w:rPr>
                <w:rFonts w:ascii="Helvetica" w:eastAsia="Times New Roman" w:hAnsi="Helvetica" w:cs="Arial"/>
                <w:sz w:val="18"/>
                <w:szCs w:val="18"/>
              </w:rPr>
            </w:pPr>
          </w:p>
        </w:tc>
        <w:tc>
          <w:tcPr>
            <w:tcW w:w="1607" w:type="dxa"/>
            <w:shd w:val="clear" w:color="auto" w:fill="auto"/>
            <w:vAlign w:val="center"/>
            <w:hideMark/>
          </w:tcPr>
          <w:p w14:paraId="2366284D" w14:textId="77777777" w:rsidR="00F04658" w:rsidRPr="00950156" w:rsidRDefault="00F04658" w:rsidP="0089630A">
            <w:pPr>
              <w:rPr>
                <w:rFonts w:ascii="Helvetica" w:hAnsi="Helvetica" w:cs="Calibri"/>
                <w:sz w:val="18"/>
                <w:szCs w:val="18"/>
              </w:rPr>
            </w:pPr>
            <w:r w:rsidRPr="00950156">
              <w:rPr>
                <w:rFonts w:ascii="Helvetica" w:hAnsi="Helvetica" w:cs="Calibri"/>
                <w:sz w:val="18"/>
                <w:szCs w:val="18"/>
              </w:rPr>
              <w:t>Percent of participation by customers defined as “hard‐to‐reach”</w:t>
            </w:r>
          </w:p>
          <w:p w14:paraId="2316AD04" w14:textId="1048B2A1" w:rsidR="00F04658" w:rsidRPr="00950156" w:rsidRDefault="00F04658" w:rsidP="0089630A">
            <w:pPr>
              <w:rPr>
                <w:rFonts w:ascii="Helvetica" w:eastAsia="Times New Roman" w:hAnsi="Helvetica" w:cs="Arial"/>
                <w:sz w:val="18"/>
                <w:szCs w:val="18"/>
              </w:rPr>
            </w:pPr>
          </w:p>
        </w:tc>
        <w:tc>
          <w:tcPr>
            <w:tcW w:w="1607" w:type="dxa"/>
            <w:shd w:val="clear" w:color="auto" w:fill="auto"/>
            <w:vAlign w:val="center"/>
            <w:hideMark/>
          </w:tcPr>
          <w:p w14:paraId="61CD53FA" w14:textId="77777777" w:rsidR="00202147" w:rsidRPr="00950156" w:rsidRDefault="00202147" w:rsidP="0089630A">
            <w:pPr>
              <w:rPr>
                <w:rFonts w:ascii="Helvetica" w:hAnsi="Helvetica" w:cs="Calibri"/>
                <w:sz w:val="18"/>
                <w:szCs w:val="18"/>
              </w:rPr>
            </w:pPr>
            <w:r w:rsidRPr="00950156">
              <w:rPr>
                <w:rFonts w:ascii="Helvetica" w:hAnsi="Helvetica" w:cs="Calibri"/>
                <w:sz w:val="18"/>
                <w:szCs w:val="18"/>
              </w:rPr>
              <w:t>Percent of participation by customers defined as</w:t>
            </w:r>
            <w:r w:rsidRPr="00950156">
              <w:rPr>
                <w:rFonts w:ascii="Helvetica" w:hAnsi="Helvetica" w:cs="Calibri"/>
                <w:sz w:val="18"/>
                <w:szCs w:val="18"/>
              </w:rPr>
              <w:br/>
              <w:t>“hard‐to‐reach”</w:t>
            </w:r>
          </w:p>
          <w:p w14:paraId="37F842B4" w14:textId="6A7D663A" w:rsidR="00202147" w:rsidRPr="00950156" w:rsidRDefault="00202147" w:rsidP="0089630A">
            <w:pPr>
              <w:rPr>
                <w:rFonts w:ascii="Helvetica" w:eastAsia="Times New Roman" w:hAnsi="Helvetica" w:cs="Arial"/>
                <w:sz w:val="18"/>
                <w:szCs w:val="18"/>
              </w:rPr>
            </w:pPr>
          </w:p>
        </w:tc>
        <w:tc>
          <w:tcPr>
            <w:tcW w:w="1607" w:type="dxa"/>
            <w:shd w:val="clear" w:color="auto" w:fill="auto"/>
            <w:noWrap/>
            <w:vAlign w:val="bottom"/>
            <w:hideMark/>
          </w:tcPr>
          <w:p w14:paraId="4A23BB79"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noWrap/>
            <w:vAlign w:val="bottom"/>
            <w:hideMark/>
          </w:tcPr>
          <w:p w14:paraId="57DBE0C1"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8" w:type="dxa"/>
            <w:shd w:val="clear" w:color="auto" w:fill="auto"/>
            <w:noWrap/>
            <w:vAlign w:val="bottom"/>
            <w:hideMark/>
          </w:tcPr>
          <w:p w14:paraId="294A371D"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r>
      <w:tr w:rsidR="007121D2" w:rsidRPr="007121D2" w14:paraId="33E21666" w14:textId="77777777" w:rsidTr="00EF241E">
        <w:trPr>
          <w:cantSplit/>
          <w:trHeight w:val="20"/>
        </w:trPr>
        <w:tc>
          <w:tcPr>
            <w:tcW w:w="1607" w:type="dxa"/>
            <w:shd w:val="clear" w:color="auto" w:fill="auto"/>
            <w:vAlign w:val="center"/>
            <w:hideMark/>
          </w:tcPr>
          <w:p w14:paraId="391A366A" w14:textId="77777777" w:rsidR="00EC17AD" w:rsidRPr="007121D2" w:rsidRDefault="00EC17AD" w:rsidP="0089630A">
            <w:pPr>
              <w:rPr>
                <w:rFonts w:ascii="Helvetica" w:eastAsia="Times New Roman" w:hAnsi="Helvetica" w:cs="Arial"/>
                <w:sz w:val="18"/>
                <w:szCs w:val="18"/>
              </w:rPr>
            </w:pPr>
            <w:r w:rsidRPr="007121D2">
              <w:rPr>
                <w:rFonts w:ascii="Helvetica" w:eastAsia="Times New Roman" w:hAnsi="Helvetica" w:cs="Arial"/>
                <w:sz w:val="18"/>
                <w:szCs w:val="18"/>
              </w:rPr>
              <w:t>Cost per unit saved</w:t>
            </w:r>
          </w:p>
        </w:tc>
        <w:tc>
          <w:tcPr>
            <w:tcW w:w="1607" w:type="dxa"/>
            <w:shd w:val="clear" w:color="auto" w:fill="auto"/>
            <w:vAlign w:val="center"/>
            <w:hideMark/>
          </w:tcPr>
          <w:p w14:paraId="392257BC" w14:textId="3BF80912" w:rsidR="003F2113" w:rsidRPr="00817D0D" w:rsidRDefault="003F2113" w:rsidP="0089630A">
            <w:pPr>
              <w:rPr>
                <w:rFonts w:ascii="Helvetica" w:hAnsi="Helvetica" w:cs="Calibri"/>
                <w:sz w:val="18"/>
                <w:szCs w:val="18"/>
              </w:rPr>
            </w:pPr>
            <w:r w:rsidRPr="00817D0D">
              <w:rPr>
                <w:rFonts w:ascii="Helvetica" w:hAnsi="Helvetica" w:cs="Calibri"/>
                <w:sz w:val="18"/>
                <w:szCs w:val="18"/>
              </w:rPr>
              <w:t>Levelized cost of energy efficiency per kWh, therm and kW (use both TRC and PAC)</w:t>
            </w:r>
          </w:p>
          <w:p w14:paraId="3DA657CD" w14:textId="6F808634" w:rsidR="003F2113" w:rsidRPr="00817D0D" w:rsidRDefault="003F2113" w:rsidP="00D30834">
            <w:pPr>
              <w:rPr>
                <w:rFonts w:ascii="Helvetica" w:eastAsia="Times New Roman" w:hAnsi="Helvetica" w:cs="Arial"/>
                <w:sz w:val="18"/>
                <w:szCs w:val="18"/>
              </w:rPr>
            </w:pPr>
          </w:p>
        </w:tc>
        <w:tc>
          <w:tcPr>
            <w:tcW w:w="1607" w:type="dxa"/>
            <w:shd w:val="clear" w:color="auto" w:fill="auto"/>
            <w:vAlign w:val="center"/>
            <w:hideMark/>
          </w:tcPr>
          <w:p w14:paraId="5BFB045E" w14:textId="77777777" w:rsidR="00A26914" w:rsidRPr="00817D0D" w:rsidRDefault="00A26914" w:rsidP="0089630A">
            <w:pPr>
              <w:rPr>
                <w:rFonts w:ascii="Helvetica" w:hAnsi="Helvetica" w:cs="Calibri"/>
                <w:sz w:val="18"/>
                <w:szCs w:val="18"/>
              </w:rPr>
            </w:pPr>
            <w:r w:rsidRPr="00817D0D">
              <w:rPr>
                <w:rFonts w:ascii="Helvetica" w:hAnsi="Helvetica" w:cs="Calibri"/>
                <w:sz w:val="18"/>
                <w:szCs w:val="18"/>
              </w:rPr>
              <w:t>Levelized cost of energy efficiency per kWh, therm and kW (use both TRC and PAC)</w:t>
            </w:r>
          </w:p>
          <w:p w14:paraId="31831E67" w14:textId="143D4DAB" w:rsidR="00A26914" w:rsidRPr="00817D0D" w:rsidRDefault="00A26914" w:rsidP="0089630A">
            <w:pPr>
              <w:rPr>
                <w:rFonts w:ascii="Helvetica" w:eastAsia="Times New Roman" w:hAnsi="Helvetica" w:cs="Arial"/>
                <w:sz w:val="18"/>
                <w:szCs w:val="18"/>
              </w:rPr>
            </w:pPr>
          </w:p>
        </w:tc>
        <w:tc>
          <w:tcPr>
            <w:tcW w:w="1607" w:type="dxa"/>
            <w:shd w:val="clear" w:color="auto" w:fill="auto"/>
            <w:vAlign w:val="center"/>
            <w:hideMark/>
          </w:tcPr>
          <w:p w14:paraId="084423B1" w14:textId="77777777" w:rsidR="0094075C" w:rsidRPr="00817D0D" w:rsidRDefault="0094075C" w:rsidP="0089630A">
            <w:pPr>
              <w:rPr>
                <w:rFonts w:ascii="Helvetica" w:hAnsi="Helvetica" w:cs="Calibri"/>
                <w:sz w:val="18"/>
                <w:szCs w:val="18"/>
              </w:rPr>
            </w:pPr>
            <w:r w:rsidRPr="00817D0D">
              <w:rPr>
                <w:rFonts w:ascii="Helvetica" w:hAnsi="Helvetica" w:cs="Calibri"/>
                <w:sz w:val="18"/>
                <w:szCs w:val="18"/>
              </w:rPr>
              <w:t>Levelized cost of energy efficiency per kWh, therm and kW (use both TRC and PAC)</w:t>
            </w:r>
          </w:p>
          <w:p w14:paraId="0E322179" w14:textId="3D0BCEB0" w:rsidR="0094075C" w:rsidRPr="00817D0D" w:rsidRDefault="0094075C" w:rsidP="0089630A">
            <w:pPr>
              <w:rPr>
                <w:rFonts w:ascii="Helvetica" w:eastAsia="Times New Roman" w:hAnsi="Helvetica" w:cs="Arial"/>
                <w:sz w:val="18"/>
                <w:szCs w:val="18"/>
              </w:rPr>
            </w:pPr>
          </w:p>
        </w:tc>
        <w:tc>
          <w:tcPr>
            <w:tcW w:w="1607" w:type="dxa"/>
            <w:shd w:val="clear" w:color="auto" w:fill="auto"/>
            <w:vAlign w:val="center"/>
            <w:hideMark/>
          </w:tcPr>
          <w:p w14:paraId="6E8A73C4" w14:textId="77777777" w:rsidR="00081392" w:rsidRPr="00817D0D" w:rsidRDefault="00081392" w:rsidP="0089630A">
            <w:pPr>
              <w:rPr>
                <w:rFonts w:ascii="Helvetica" w:hAnsi="Helvetica" w:cs="Calibri"/>
                <w:sz w:val="18"/>
                <w:szCs w:val="18"/>
              </w:rPr>
            </w:pPr>
            <w:r w:rsidRPr="00817D0D">
              <w:rPr>
                <w:rFonts w:ascii="Helvetica" w:hAnsi="Helvetica" w:cs="Calibri"/>
                <w:sz w:val="18"/>
                <w:szCs w:val="18"/>
              </w:rPr>
              <w:t>Levelized cost of energy efficiency per kWh, therm and kW (use both TRC and PAC)</w:t>
            </w:r>
          </w:p>
          <w:p w14:paraId="343AE072" w14:textId="712621D8" w:rsidR="00081392" w:rsidRPr="00817D0D" w:rsidRDefault="00081392" w:rsidP="0089630A">
            <w:pPr>
              <w:rPr>
                <w:rFonts w:ascii="Helvetica" w:eastAsia="Times New Roman" w:hAnsi="Helvetica" w:cs="Arial"/>
                <w:sz w:val="18"/>
                <w:szCs w:val="18"/>
              </w:rPr>
            </w:pPr>
          </w:p>
        </w:tc>
        <w:tc>
          <w:tcPr>
            <w:tcW w:w="1607" w:type="dxa"/>
            <w:tcBorders>
              <w:bottom w:val="single" w:sz="4" w:space="0" w:color="auto"/>
            </w:tcBorders>
            <w:shd w:val="clear" w:color="auto" w:fill="auto"/>
            <w:vAlign w:val="center"/>
            <w:hideMark/>
          </w:tcPr>
          <w:p w14:paraId="2479ACB0" w14:textId="77777777" w:rsidR="00274FD3" w:rsidRPr="00817D0D" w:rsidRDefault="00274FD3" w:rsidP="0089630A">
            <w:pPr>
              <w:rPr>
                <w:rFonts w:ascii="Helvetica" w:hAnsi="Helvetica" w:cs="Calibri"/>
                <w:sz w:val="18"/>
                <w:szCs w:val="18"/>
              </w:rPr>
            </w:pPr>
            <w:r w:rsidRPr="00817D0D">
              <w:rPr>
                <w:rFonts w:ascii="Helvetica" w:hAnsi="Helvetica" w:cs="Calibri"/>
                <w:sz w:val="18"/>
                <w:szCs w:val="18"/>
              </w:rPr>
              <w:t>Levelized cost of energy efficiency per kWh, therm and kW (use both TRC and PAC)</w:t>
            </w:r>
          </w:p>
          <w:p w14:paraId="51C145D0" w14:textId="15C371DC" w:rsidR="00274FD3" w:rsidRPr="00817D0D" w:rsidRDefault="00274FD3" w:rsidP="0089630A">
            <w:pPr>
              <w:rPr>
                <w:rFonts w:ascii="Helvetica" w:eastAsia="Times New Roman" w:hAnsi="Helvetica" w:cs="Arial"/>
                <w:sz w:val="18"/>
                <w:szCs w:val="18"/>
              </w:rPr>
            </w:pPr>
          </w:p>
        </w:tc>
        <w:tc>
          <w:tcPr>
            <w:tcW w:w="1607" w:type="dxa"/>
            <w:shd w:val="clear" w:color="auto" w:fill="auto"/>
            <w:noWrap/>
            <w:vAlign w:val="center"/>
            <w:hideMark/>
          </w:tcPr>
          <w:p w14:paraId="21D3FFDE" w14:textId="07FCA185" w:rsidR="00BE02A8" w:rsidRPr="00817D0D" w:rsidRDefault="00EC17AD" w:rsidP="0089630A">
            <w:pPr>
              <w:rPr>
                <w:rFonts w:ascii="Helvetica" w:hAnsi="Helvetica" w:cs="Calibri"/>
                <w:sz w:val="18"/>
                <w:szCs w:val="18"/>
              </w:rPr>
            </w:pPr>
            <w:r w:rsidRPr="00817D0D">
              <w:rPr>
                <w:rFonts w:ascii="Helvetica" w:hAnsi="Helvetica" w:cs="Calibri"/>
                <w:sz w:val="18"/>
                <w:szCs w:val="18"/>
              </w:rPr>
              <w:t> </w:t>
            </w:r>
            <w:r w:rsidR="00BE02A8" w:rsidRPr="00817D0D">
              <w:rPr>
                <w:rFonts w:ascii="Helvetica" w:hAnsi="Helvetica" w:cs="Calibri"/>
                <w:sz w:val="18"/>
                <w:szCs w:val="18"/>
                <w:highlight w:val="yellow"/>
              </w:rPr>
              <w:t>Levelized cost of energy efficiency per kWh, therm and KW (use both TRC and PAC)</w:t>
            </w:r>
          </w:p>
          <w:p w14:paraId="7EA01294" w14:textId="37A87984" w:rsidR="00EC17AD" w:rsidRPr="00817D0D" w:rsidRDefault="00EC17AD" w:rsidP="0089630A">
            <w:pPr>
              <w:rPr>
                <w:rFonts w:ascii="Helvetica" w:hAnsi="Helvetica" w:cs="Calibri"/>
                <w:sz w:val="18"/>
                <w:szCs w:val="18"/>
              </w:rPr>
            </w:pPr>
          </w:p>
        </w:tc>
        <w:tc>
          <w:tcPr>
            <w:tcW w:w="1608" w:type="dxa"/>
            <w:shd w:val="clear" w:color="auto" w:fill="auto"/>
            <w:vAlign w:val="center"/>
            <w:hideMark/>
          </w:tcPr>
          <w:p w14:paraId="72A6788E" w14:textId="77777777" w:rsidR="00EB1D2A" w:rsidRPr="00817D0D" w:rsidRDefault="00EB1D2A" w:rsidP="0089630A">
            <w:pPr>
              <w:rPr>
                <w:rFonts w:ascii="Helvetica" w:hAnsi="Helvetica" w:cs="Calibri"/>
                <w:sz w:val="18"/>
                <w:szCs w:val="18"/>
              </w:rPr>
            </w:pPr>
            <w:r w:rsidRPr="00817D0D">
              <w:rPr>
                <w:rFonts w:ascii="Helvetica" w:hAnsi="Helvetica" w:cs="Calibri"/>
                <w:sz w:val="18"/>
                <w:szCs w:val="18"/>
              </w:rPr>
              <w:t>Levelized cost of energy efficiency per kWh, therm and kW (use both TRC and PAC)</w:t>
            </w:r>
          </w:p>
          <w:p w14:paraId="5DF5A5AF" w14:textId="09FF1679" w:rsidR="00EB1D2A" w:rsidRPr="00817D0D" w:rsidRDefault="00EB1D2A" w:rsidP="0089630A">
            <w:pPr>
              <w:rPr>
                <w:rFonts w:ascii="Helvetica" w:hAnsi="Helvetica" w:cs="Calibri"/>
                <w:sz w:val="18"/>
                <w:szCs w:val="18"/>
              </w:rPr>
            </w:pPr>
          </w:p>
        </w:tc>
      </w:tr>
      <w:tr w:rsidR="007121D2" w:rsidRPr="007121D2" w14:paraId="6E371E88" w14:textId="77777777" w:rsidTr="00EF241E">
        <w:trPr>
          <w:cantSplit/>
          <w:trHeight w:val="20"/>
        </w:trPr>
        <w:tc>
          <w:tcPr>
            <w:tcW w:w="1607" w:type="dxa"/>
            <w:shd w:val="clear" w:color="auto" w:fill="auto"/>
            <w:vAlign w:val="center"/>
            <w:hideMark/>
          </w:tcPr>
          <w:p w14:paraId="03820925" w14:textId="77777777" w:rsidR="00EC17AD" w:rsidRPr="009E7422" w:rsidRDefault="00EC17AD" w:rsidP="0089630A">
            <w:pPr>
              <w:rPr>
                <w:rFonts w:ascii="Helvetica" w:eastAsia="Times New Roman" w:hAnsi="Helvetica" w:cs="Arial"/>
                <w:sz w:val="18"/>
                <w:szCs w:val="18"/>
              </w:rPr>
            </w:pPr>
            <w:r w:rsidRPr="009E7422">
              <w:rPr>
                <w:rFonts w:ascii="Helvetica" w:eastAsia="Times New Roman" w:hAnsi="Helvetica" w:cs="Arial"/>
                <w:sz w:val="18"/>
                <w:szCs w:val="18"/>
              </w:rPr>
              <w:lastRenderedPageBreak/>
              <w:t>Energy intensity</w:t>
            </w:r>
          </w:p>
        </w:tc>
        <w:tc>
          <w:tcPr>
            <w:tcW w:w="1607" w:type="dxa"/>
            <w:shd w:val="clear" w:color="auto" w:fill="auto"/>
            <w:noWrap/>
            <w:vAlign w:val="bottom"/>
            <w:hideMark/>
          </w:tcPr>
          <w:p w14:paraId="2EA58BDC"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vAlign w:val="center"/>
            <w:hideMark/>
          </w:tcPr>
          <w:p w14:paraId="35A287A7" w14:textId="75B67CC9" w:rsidR="00A26914" w:rsidRPr="00FF068E" w:rsidRDefault="00A26914" w:rsidP="0089630A">
            <w:pPr>
              <w:rPr>
                <w:rFonts w:ascii="Helvetica" w:hAnsi="Helvetica" w:cs="Calibri"/>
                <w:color w:val="0070C0"/>
                <w:sz w:val="18"/>
                <w:szCs w:val="18"/>
              </w:rPr>
            </w:pPr>
            <w:r w:rsidRPr="00FF068E">
              <w:rPr>
                <w:rFonts w:ascii="Helvetica" w:hAnsi="Helvetica" w:cs="Calibri"/>
                <w:color w:val="0070C0"/>
                <w:sz w:val="18"/>
                <w:szCs w:val="18"/>
              </w:rPr>
              <w:t>(Indicator) Average energy use intensity of single family homes (average usage per household – not adjusted)</w:t>
            </w:r>
          </w:p>
          <w:p w14:paraId="1FF35256" w14:textId="0F7FAB4E" w:rsidR="00A26914" w:rsidRPr="00950156" w:rsidRDefault="00A26914" w:rsidP="0089630A">
            <w:pPr>
              <w:rPr>
                <w:rFonts w:ascii="Helvetica" w:eastAsia="Times New Roman" w:hAnsi="Helvetica" w:cs="Arial"/>
                <w:sz w:val="18"/>
                <w:szCs w:val="18"/>
              </w:rPr>
            </w:pPr>
          </w:p>
        </w:tc>
        <w:tc>
          <w:tcPr>
            <w:tcW w:w="1607" w:type="dxa"/>
            <w:tcBorders>
              <w:bottom w:val="single" w:sz="4" w:space="0" w:color="auto"/>
            </w:tcBorders>
            <w:shd w:val="clear" w:color="auto" w:fill="auto"/>
            <w:vAlign w:val="center"/>
            <w:hideMark/>
          </w:tcPr>
          <w:p w14:paraId="2E978FB3" w14:textId="77777777" w:rsidR="002D5842" w:rsidRPr="00056B10" w:rsidRDefault="000D607D" w:rsidP="0089630A">
            <w:pPr>
              <w:rPr>
                <w:rFonts w:ascii="Helvetica" w:hAnsi="Helvetica" w:cs="Calibri"/>
                <w:color w:val="0070C0"/>
                <w:sz w:val="18"/>
                <w:szCs w:val="18"/>
              </w:rPr>
            </w:pPr>
            <w:r w:rsidRPr="00056B10">
              <w:rPr>
                <w:rFonts w:ascii="Helvetica" w:hAnsi="Helvetica" w:cs="Calibri"/>
                <w:color w:val="0070C0"/>
                <w:sz w:val="18"/>
                <w:szCs w:val="18"/>
              </w:rPr>
              <w:t xml:space="preserve">[Indicator] </w:t>
            </w:r>
            <w:r w:rsidR="00B91B9D" w:rsidRPr="00056B10">
              <w:rPr>
                <w:rFonts w:ascii="Helvetica" w:hAnsi="Helvetica" w:cs="Calibri"/>
                <w:color w:val="0070C0"/>
                <w:sz w:val="18"/>
                <w:szCs w:val="18"/>
              </w:rPr>
              <w:t xml:space="preserve">Average energy use intensity of multifamily buildings (average usage per square foot – not adjusted </w:t>
            </w:r>
          </w:p>
          <w:p w14:paraId="04B23058" w14:textId="77777777" w:rsidR="002D5842" w:rsidRPr="00056B10" w:rsidRDefault="002D5842" w:rsidP="0089630A">
            <w:pPr>
              <w:rPr>
                <w:rFonts w:ascii="Helvetica" w:hAnsi="Helvetica" w:cs="Calibri"/>
                <w:sz w:val="18"/>
                <w:szCs w:val="18"/>
              </w:rPr>
            </w:pPr>
          </w:p>
          <w:p w14:paraId="2F8502E7" w14:textId="57EC109E" w:rsidR="009B2169" w:rsidRPr="00056B10" w:rsidRDefault="002D5842" w:rsidP="0089630A">
            <w:pPr>
              <w:rPr>
                <w:rFonts w:ascii="Helvetica" w:hAnsi="Helvetica" w:cs="Calibri"/>
                <w:color w:val="0070C0"/>
                <w:sz w:val="18"/>
                <w:szCs w:val="18"/>
              </w:rPr>
            </w:pPr>
            <w:r w:rsidRPr="00867FA7">
              <w:rPr>
                <w:rFonts w:ascii="Helvetica" w:hAnsi="Helvetica" w:cs="Calibri"/>
                <w:color w:val="0070C0"/>
                <w:sz w:val="18"/>
                <w:szCs w:val="18"/>
                <w:highlight w:val="yellow"/>
              </w:rPr>
              <w:t xml:space="preserve">[Indicator] </w:t>
            </w:r>
            <w:r w:rsidR="00B91B9D" w:rsidRPr="00867FA7">
              <w:rPr>
                <w:rFonts w:ascii="Helvetica" w:hAnsi="Helvetica" w:cs="Calibri"/>
                <w:color w:val="0070C0"/>
                <w:sz w:val="18"/>
                <w:szCs w:val="18"/>
                <w:highlight w:val="yellow"/>
              </w:rPr>
              <w:t>and Average energy use intensity of multifamily units. including in‐unit accounts)</w:t>
            </w:r>
          </w:p>
          <w:p w14:paraId="54AA77CB" w14:textId="119F2B00" w:rsidR="00B91B9D" w:rsidRPr="00056B10" w:rsidRDefault="00B91B9D" w:rsidP="0089630A">
            <w:pPr>
              <w:rPr>
                <w:rFonts w:ascii="Helvetica" w:eastAsia="Times New Roman" w:hAnsi="Helvetica" w:cs="Arial"/>
                <w:sz w:val="18"/>
                <w:szCs w:val="18"/>
              </w:rPr>
            </w:pPr>
          </w:p>
        </w:tc>
        <w:tc>
          <w:tcPr>
            <w:tcW w:w="1607" w:type="dxa"/>
            <w:tcBorders>
              <w:bottom w:val="single" w:sz="4" w:space="0" w:color="auto"/>
            </w:tcBorders>
            <w:shd w:val="clear" w:color="auto" w:fill="auto"/>
            <w:vAlign w:val="center"/>
            <w:hideMark/>
          </w:tcPr>
          <w:p w14:paraId="2AC29CAF" w14:textId="77777777" w:rsidR="00EC17AD" w:rsidRPr="00950156" w:rsidRDefault="00EC17AD" w:rsidP="0089630A">
            <w:pPr>
              <w:rPr>
                <w:rFonts w:ascii="Helvetica" w:eastAsia="Times New Roman" w:hAnsi="Helvetica" w:cs="Arial"/>
                <w:sz w:val="18"/>
                <w:szCs w:val="18"/>
                <w:highlight w:val="yellow"/>
              </w:rPr>
            </w:pPr>
          </w:p>
        </w:tc>
        <w:tc>
          <w:tcPr>
            <w:tcW w:w="1607" w:type="dxa"/>
            <w:tcBorders>
              <w:bottom w:val="single" w:sz="4" w:space="0" w:color="auto"/>
            </w:tcBorders>
            <w:shd w:val="clear" w:color="auto" w:fill="EAF1DD" w:themeFill="accent3" w:themeFillTint="33"/>
            <w:vAlign w:val="center"/>
            <w:hideMark/>
          </w:tcPr>
          <w:p w14:paraId="098B17E2" w14:textId="77777777" w:rsidR="00A413E9" w:rsidRPr="00950156" w:rsidRDefault="00A413E9" w:rsidP="0089630A">
            <w:pPr>
              <w:rPr>
                <w:rFonts w:ascii="Helvetica" w:hAnsi="Helvetica" w:cs="Calibri"/>
                <w:sz w:val="18"/>
                <w:szCs w:val="18"/>
              </w:rPr>
            </w:pPr>
            <w:r w:rsidRPr="00867FA7">
              <w:rPr>
                <w:rFonts w:ascii="Helvetica" w:hAnsi="Helvetica" w:cs="Calibri"/>
                <w:sz w:val="18"/>
                <w:szCs w:val="18"/>
                <w:highlight w:val="yellow"/>
              </w:rPr>
              <w:t>Average energy use intensity of all Public Sector buildings</w:t>
            </w:r>
          </w:p>
          <w:p w14:paraId="0701BBAC" w14:textId="77777777" w:rsidR="00EC17AD" w:rsidRPr="00867FA7" w:rsidRDefault="00EC17AD" w:rsidP="0089630A">
            <w:pPr>
              <w:rPr>
                <w:rFonts w:ascii="Helvetica" w:eastAsia="Times New Roman" w:hAnsi="Helvetica" w:cs="Arial"/>
                <w:sz w:val="18"/>
                <w:szCs w:val="18"/>
                <w:highlight w:val="yellow"/>
              </w:rPr>
            </w:pPr>
          </w:p>
        </w:tc>
        <w:tc>
          <w:tcPr>
            <w:tcW w:w="1607" w:type="dxa"/>
            <w:shd w:val="clear" w:color="auto" w:fill="auto"/>
            <w:noWrap/>
            <w:vAlign w:val="bottom"/>
            <w:hideMark/>
          </w:tcPr>
          <w:p w14:paraId="68895DA5"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8" w:type="dxa"/>
            <w:shd w:val="clear" w:color="auto" w:fill="auto"/>
            <w:noWrap/>
            <w:vAlign w:val="bottom"/>
            <w:hideMark/>
          </w:tcPr>
          <w:p w14:paraId="78DA6A90" w14:textId="77777777" w:rsidR="00EC17AD" w:rsidRPr="00950156" w:rsidRDefault="00EC17AD"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r>
      <w:tr w:rsidR="007121D2" w:rsidRPr="007121D2" w14:paraId="67234664" w14:textId="77777777" w:rsidTr="00D8206E">
        <w:trPr>
          <w:cantSplit/>
          <w:trHeight w:val="20"/>
        </w:trPr>
        <w:tc>
          <w:tcPr>
            <w:tcW w:w="1607" w:type="dxa"/>
            <w:shd w:val="clear" w:color="auto" w:fill="auto"/>
            <w:vAlign w:val="center"/>
          </w:tcPr>
          <w:p w14:paraId="539B29F0" w14:textId="77777777" w:rsidR="000A55C6" w:rsidRPr="007121D2" w:rsidRDefault="000A55C6" w:rsidP="0089630A">
            <w:pPr>
              <w:rPr>
                <w:rFonts w:ascii="Helvetica" w:eastAsia="Times New Roman" w:hAnsi="Helvetica" w:cs="Arial"/>
                <w:sz w:val="18"/>
                <w:szCs w:val="18"/>
              </w:rPr>
            </w:pPr>
            <w:r w:rsidRPr="007121D2">
              <w:rPr>
                <w:rFonts w:ascii="Helvetica" w:eastAsia="Times New Roman" w:hAnsi="Helvetica" w:cs="Arial"/>
                <w:sz w:val="18"/>
                <w:szCs w:val="18"/>
              </w:rPr>
              <w:t>Energy intensity (Benchmarking)</w:t>
            </w:r>
          </w:p>
        </w:tc>
        <w:tc>
          <w:tcPr>
            <w:tcW w:w="1607" w:type="dxa"/>
            <w:shd w:val="clear" w:color="auto" w:fill="auto"/>
            <w:noWrap/>
            <w:vAlign w:val="bottom"/>
          </w:tcPr>
          <w:p w14:paraId="02A4B0A3" w14:textId="77777777" w:rsidR="000A55C6" w:rsidRPr="00950156" w:rsidRDefault="000A55C6"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noWrap/>
            <w:vAlign w:val="center"/>
          </w:tcPr>
          <w:p w14:paraId="03190588" w14:textId="77777777" w:rsidR="000A55C6" w:rsidRPr="00950156" w:rsidRDefault="000A55C6" w:rsidP="0089630A">
            <w:pPr>
              <w:rPr>
                <w:rFonts w:ascii="Helvetica" w:eastAsia="Times New Roman" w:hAnsi="Helvetica" w:cs="Arial"/>
                <w:sz w:val="18"/>
                <w:szCs w:val="18"/>
              </w:rPr>
            </w:pPr>
          </w:p>
        </w:tc>
        <w:tc>
          <w:tcPr>
            <w:tcW w:w="1607" w:type="dxa"/>
            <w:shd w:val="clear" w:color="auto" w:fill="EAF1DD" w:themeFill="accent3" w:themeFillTint="33"/>
            <w:noWrap/>
            <w:vAlign w:val="center"/>
          </w:tcPr>
          <w:p w14:paraId="2AB606B8" w14:textId="5A09AD5B" w:rsidR="00C51913" w:rsidRPr="00950156" w:rsidRDefault="00C51913" w:rsidP="0089630A">
            <w:pPr>
              <w:rPr>
                <w:rFonts w:ascii="Helvetica" w:hAnsi="Helvetica" w:cs="Calibri"/>
                <w:sz w:val="18"/>
                <w:szCs w:val="18"/>
              </w:rPr>
            </w:pPr>
            <w:r w:rsidRPr="00867FA7">
              <w:rPr>
                <w:rFonts w:ascii="Helvetica" w:hAnsi="Helvetica" w:cs="Calibri"/>
                <w:sz w:val="18"/>
                <w:szCs w:val="18"/>
                <w:highlight w:val="yellow"/>
              </w:rPr>
              <w:t>Percent of benchmarked multi‐family properties relative to the eligible population</w:t>
            </w:r>
          </w:p>
          <w:p w14:paraId="404C53F3" w14:textId="77777777" w:rsidR="00C51913" w:rsidRPr="00950156" w:rsidRDefault="00C51913" w:rsidP="0089630A">
            <w:pPr>
              <w:rPr>
                <w:rFonts w:ascii="Helvetica" w:hAnsi="Helvetica" w:cs="Calibri"/>
                <w:sz w:val="18"/>
                <w:szCs w:val="18"/>
              </w:rPr>
            </w:pPr>
          </w:p>
          <w:p w14:paraId="4009D706" w14:textId="6DBC2397" w:rsidR="001D7C75" w:rsidRPr="00950156" w:rsidRDefault="001D7C75" w:rsidP="0089630A">
            <w:pPr>
              <w:rPr>
                <w:rFonts w:ascii="Helvetica" w:hAnsi="Helvetica" w:cs="Calibri"/>
                <w:sz w:val="18"/>
                <w:szCs w:val="18"/>
              </w:rPr>
            </w:pPr>
            <w:r w:rsidRPr="00867FA7">
              <w:rPr>
                <w:rFonts w:ascii="Helvetica" w:hAnsi="Helvetica" w:cs="Calibri"/>
                <w:sz w:val="18"/>
                <w:szCs w:val="18"/>
                <w:highlight w:val="yellow"/>
              </w:rPr>
              <w:t>Percent of benchmarking by properties defined as “hard‐to‐reach”</w:t>
            </w:r>
          </w:p>
          <w:p w14:paraId="3FDECFCC" w14:textId="4B3D6D97" w:rsidR="001D7C75" w:rsidRPr="00950156" w:rsidRDefault="001D7C75" w:rsidP="0089630A">
            <w:pPr>
              <w:rPr>
                <w:rFonts w:ascii="Helvetica" w:hAnsi="Helvetica" w:cs="Calibri"/>
                <w:sz w:val="18"/>
                <w:szCs w:val="18"/>
              </w:rPr>
            </w:pPr>
          </w:p>
          <w:p w14:paraId="71F5DB3E" w14:textId="77777777" w:rsidR="000A55C6" w:rsidRPr="00950156" w:rsidRDefault="000A55C6" w:rsidP="0089630A">
            <w:pPr>
              <w:rPr>
                <w:rFonts w:ascii="Helvetica" w:eastAsia="Times New Roman" w:hAnsi="Helvetica" w:cs="Arial"/>
                <w:sz w:val="18"/>
                <w:szCs w:val="18"/>
              </w:rPr>
            </w:pPr>
          </w:p>
        </w:tc>
        <w:tc>
          <w:tcPr>
            <w:tcW w:w="1607" w:type="dxa"/>
            <w:tcBorders>
              <w:bottom w:val="single" w:sz="4" w:space="0" w:color="auto"/>
            </w:tcBorders>
            <w:shd w:val="clear" w:color="auto" w:fill="EAF1DD" w:themeFill="accent3" w:themeFillTint="33"/>
            <w:vAlign w:val="center"/>
          </w:tcPr>
          <w:p w14:paraId="69064C1C" w14:textId="635F964D" w:rsidR="00964237" w:rsidRPr="00950156" w:rsidRDefault="00964237" w:rsidP="0089630A">
            <w:pPr>
              <w:rPr>
                <w:rFonts w:ascii="Helvetica" w:hAnsi="Helvetica" w:cs="Calibri"/>
                <w:sz w:val="18"/>
                <w:szCs w:val="18"/>
              </w:rPr>
            </w:pPr>
            <w:r w:rsidRPr="00950156">
              <w:rPr>
                <w:rFonts w:ascii="Helvetica" w:hAnsi="Helvetica" w:cs="Calibri"/>
                <w:sz w:val="18"/>
                <w:szCs w:val="18"/>
              </w:rPr>
              <w:t>Percent of benchmarked square feet of</w:t>
            </w:r>
            <w:r w:rsidRPr="00950156">
              <w:rPr>
                <w:rFonts w:ascii="Helvetica" w:hAnsi="Helvetica" w:cs="Calibri"/>
                <w:sz w:val="18"/>
                <w:szCs w:val="18"/>
              </w:rPr>
              <w:br/>
              <w:t>eligible population</w:t>
            </w:r>
          </w:p>
          <w:p w14:paraId="6515FB49" w14:textId="77777777" w:rsidR="004E515F" w:rsidRPr="00950156" w:rsidRDefault="004E515F" w:rsidP="0089630A">
            <w:pPr>
              <w:rPr>
                <w:rFonts w:ascii="Helvetica" w:hAnsi="Helvetica" w:cs="Calibri"/>
                <w:sz w:val="18"/>
                <w:szCs w:val="18"/>
              </w:rPr>
            </w:pPr>
          </w:p>
          <w:p w14:paraId="3B315D37" w14:textId="5B6E0C03" w:rsidR="004E515F" w:rsidRPr="00950156" w:rsidRDefault="004E515F" w:rsidP="0089630A">
            <w:pPr>
              <w:rPr>
                <w:rFonts w:ascii="Helvetica" w:hAnsi="Helvetica" w:cs="Calibri"/>
                <w:sz w:val="18"/>
                <w:szCs w:val="18"/>
              </w:rPr>
            </w:pPr>
            <w:r w:rsidRPr="00867FA7">
              <w:rPr>
                <w:rFonts w:ascii="Helvetica" w:hAnsi="Helvetica" w:cs="Calibri"/>
                <w:sz w:val="18"/>
                <w:szCs w:val="18"/>
                <w:highlight w:val="yellow"/>
              </w:rPr>
              <w:t>Percent of benchmarked customers relative to</w:t>
            </w:r>
            <w:r w:rsidRPr="00867FA7">
              <w:rPr>
                <w:rFonts w:ascii="Helvetica" w:hAnsi="Helvetica" w:cs="Calibri"/>
                <w:sz w:val="18"/>
                <w:szCs w:val="18"/>
                <w:highlight w:val="yellow"/>
              </w:rPr>
              <w:br/>
              <w:t>eligible population for small, medium, and</w:t>
            </w:r>
            <w:r w:rsidRPr="00867FA7">
              <w:rPr>
                <w:rFonts w:ascii="Helvetica" w:hAnsi="Helvetica" w:cs="Calibri"/>
                <w:sz w:val="18"/>
                <w:szCs w:val="18"/>
                <w:highlight w:val="yellow"/>
              </w:rPr>
              <w:br/>
              <w:t>large customers</w:t>
            </w:r>
          </w:p>
          <w:p w14:paraId="27CFA99B" w14:textId="64AA62F8" w:rsidR="004E515F" w:rsidRPr="00950156" w:rsidRDefault="004E515F" w:rsidP="0089630A">
            <w:pPr>
              <w:rPr>
                <w:rFonts w:ascii="Helvetica" w:hAnsi="Helvetica" w:cs="Calibri"/>
                <w:sz w:val="18"/>
                <w:szCs w:val="18"/>
              </w:rPr>
            </w:pPr>
          </w:p>
          <w:p w14:paraId="77A39EC1" w14:textId="26E34A6D" w:rsidR="004E515F" w:rsidRPr="00950156" w:rsidRDefault="004E515F" w:rsidP="0089630A">
            <w:pPr>
              <w:rPr>
                <w:rFonts w:ascii="Helvetica" w:hAnsi="Helvetica" w:cs="Calibri"/>
                <w:sz w:val="18"/>
                <w:szCs w:val="18"/>
              </w:rPr>
            </w:pPr>
            <w:r w:rsidRPr="00867FA7">
              <w:rPr>
                <w:rFonts w:ascii="Helvetica" w:hAnsi="Helvetica" w:cs="Calibri"/>
                <w:sz w:val="18"/>
                <w:szCs w:val="18"/>
                <w:highlight w:val="yellow"/>
              </w:rPr>
              <w:t>Percent of benchmarking by customers defined as</w:t>
            </w:r>
            <w:r w:rsidRPr="00867FA7">
              <w:rPr>
                <w:rFonts w:ascii="Helvetica" w:hAnsi="Helvetica" w:cs="Calibri"/>
                <w:sz w:val="18"/>
                <w:szCs w:val="18"/>
                <w:highlight w:val="yellow"/>
              </w:rPr>
              <w:br/>
              <w:t>“hard‐to‐reach”</w:t>
            </w:r>
          </w:p>
          <w:p w14:paraId="7FE8CA22" w14:textId="2F3D49A3" w:rsidR="00964237" w:rsidRPr="00950156" w:rsidRDefault="00964237" w:rsidP="0089630A">
            <w:pPr>
              <w:rPr>
                <w:rFonts w:ascii="Helvetica" w:eastAsia="Times New Roman" w:hAnsi="Helvetica" w:cs="Arial"/>
                <w:sz w:val="18"/>
                <w:szCs w:val="18"/>
              </w:rPr>
            </w:pPr>
          </w:p>
        </w:tc>
        <w:tc>
          <w:tcPr>
            <w:tcW w:w="1607" w:type="dxa"/>
            <w:shd w:val="clear" w:color="auto" w:fill="EAF1DD" w:themeFill="accent3" w:themeFillTint="33"/>
            <w:vAlign w:val="center"/>
          </w:tcPr>
          <w:p w14:paraId="2D079382" w14:textId="77777777" w:rsidR="0003430D" w:rsidRPr="00950156" w:rsidRDefault="0003430D" w:rsidP="0089630A">
            <w:pPr>
              <w:rPr>
                <w:rFonts w:ascii="Helvetica" w:hAnsi="Helvetica" w:cs="Calibri"/>
                <w:sz w:val="18"/>
                <w:szCs w:val="18"/>
              </w:rPr>
            </w:pPr>
            <w:r w:rsidRPr="00867FA7">
              <w:rPr>
                <w:rFonts w:ascii="Helvetica" w:hAnsi="Helvetica" w:cs="Calibri"/>
                <w:sz w:val="18"/>
                <w:szCs w:val="18"/>
                <w:highlight w:val="yellow"/>
              </w:rPr>
              <w:t>Percent of Public Sector buildings with current benchmark</w:t>
            </w:r>
          </w:p>
          <w:p w14:paraId="2B4380EC" w14:textId="77777777" w:rsidR="000A55C6" w:rsidRPr="00950156" w:rsidRDefault="000A55C6" w:rsidP="0089630A">
            <w:pPr>
              <w:rPr>
                <w:rFonts w:ascii="Helvetica" w:eastAsia="Times New Roman" w:hAnsi="Helvetica" w:cs="Arial"/>
                <w:sz w:val="18"/>
                <w:szCs w:val="18"/>
              </w:rPr>
            </w:pPr>
          </w:p>
          <w:p w14:paraId="2646084E" w14:textId="77777777" w:rsidR="0003430D" w:rsidRPr="00385620" w:rsidRDefault="0003430D" w:rsidP="0089630A">
            <w:pPr>
              <w:rPr>
                <w:rFonts w:ascii="Helvetica" w:hAnsi="Helvetica" w:cs="Calibri"/>
                <w:color w:val="0070C0"/>
                <w:sz w:val="18"/>
                <w:szCs w:val="18"/>
              </w:rPr>
            </w:pPr>
            <w:r w:rsidRPr="00106899">
              <w:rPr>
                <w:rFonts w:ascii="Helvetica" w:hAnsi="Helvetica" w:cs="Calibri"/>
                <w:color w:val="0070C0"/>
                <w:sz w:val="18"/>
                <w:szCs w:val="18"/>
              </w:rPr>
              <w:t>[Indicator] Percent of floorplan area of all Public Sector buildings with current benchmark</w:t>
            </w:r>
          </w:p>
          <w:p w14:paraId="209F7337" w14:textId="60B217AF" w:rsidR="0003430D" w:rsidRPr="00950156" w:rsidRDefault="0003430D" w:rsidP="0089630A">
            <w:pPr>
              <w:rPr>
                <w:rFonts w:ascii="Helvetica" w:eastAsia="Times New Roman" w:hAnsi="Helvetica" w:cs="Arial"/>
                <w:sz w:val="18"/>
                <w:szCs w:val="18"/>
              </w:rPr>
            </w:pPr>
          </w:p>
        </w:tc>
        <w:tc>
          <w:tcPr>
            <w:tcW w:w="1607" w:type="dxa"/>
            <w:shd w:val="clear" w:color="auto" w:fill="auto"/>
            <w:noWrap/>
            <w:vAlign w:val="bottom"/>
          </w:tcPr>
          <w:p w14:paraId="2013B802" w14:textId="77777777" w:rsidR="000A55C6" w:rsidRPr="00950156" w:rsidRDefault="000A55C6" w:rsidP="0089630A">
            <w:pPr>
              <w:rPr>
                <w:rFonts w:ascii="Helvetica" w:eastAsia="Times New Roman" w:hAnsi="Helvetica" w:cs="Arial"/>
                <w:sz w:val="18"/>
                <w:szCs w:val="18"/>
              </w:rPr>
            </w:pPr>
          </w:p>
        </w:tc>
        <w:tc>
          <w:tcPr>
            <w:tcW w:w="1608" w:type="dxa"/>
            <w:shd w:val="clear" w:color="auto" w:fill="auto"/>
            <w:noWrap/>
            <w:vAlign w:val="bottom"/>
          </w:tcPr>
          <w:p w14:paraId="2F86F2F4" w14:textId="77777777" w:rsidR="000A55C6" w:rsidRPr="00950156" w:rsidRDefault="000A55C6" w:rsidP="0089630A">
            <w:pPr>
              <w:rPr>
                <w:rFonts w:ascii="Helvetica" w:eastAsia="Times New Roman" w:hAnsi="Helvetica" w:cs="Arial"/>
                <w:sz w:val="18"/>
                <w:szCs w:val="18"/>
              </w:rPr>
            </w:pPr>
          </w:p>
        </w:tc>
      </w:tr>
      <w:tr w:rsidR="007121D2" w:rsidRPr="007121D2" w14:paraId="54B8473C" w14:textId="77777777" w:rsidTr="00D8206E">
        <w:trPr>
          <w:cantSplit/>
          <w:trHeight w:val="20"/>
        </w:trPr>
        <w:tc>
          <w:tcPr>
            <w:tcW w:w="1607" w:type="dxa"/>
            <w:shd w:val="clear" w:color="auto" w:fill="auto"/>
            <w:vAlign w:val="center"/>
            <w:hideMark/>
          </w:tcPr>
          <w:p w14:paraId="4F505CAB" w14:textId="77777777" w:rsidR="000A55C6" w:rsidRPr="007121D2" w:rsidRDefault="000A55C6" w:rsidP="0089630A">
            <w:pPr>
              <w:rPr>
                <w:rFonts w:ascii="Helvetica" w:eastAsia="Times New Roman" w:hAnsi="Helvetica" w:cs="Arial"/>
                <w:sz w:val="18"/>
                <w:szCs w:val="18"/>
              </w:rPr>
            </w:pPr>
            <w:r w:rsidRPr="007121D2">
              <w:rPr>
                <w:rFonts w:ascii="Helvetica" w:eastAsia="Times New Roman" w:hAnsi="Helvetica" w:cs="Arial"/>
                <w:sz w:val="18"/>
                <w:szCs w:val="18"/>
              </w:rPr>
              <w:lastRenderedPageBreak/>
              <w:t>Investment in energy efficiency</w:t>
            </w:r>
          </w:p>
        </w:tc>
        <w:tc>
          <w:tcPr>
            <w:tcW w:w="1607" w:type="dxa"/>
            <w:shd w:val="clear" w:color="auto" w:fill="auto"/>
            <w:noWrap/>
            <w:vAlign w:val="bottom"/>
            <w:hideMark/>
          </w:tcPr>
          <w:p w14:paraId="58FFED01" w14:textId="77777777" w:rsidR="000A55C6" w:rsidRPr="00950156" w:rsidRDefault="000A55C6"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noWrap/>
            <w:vAlign w:val="bottom"/>
            <w:hideMark/>
          </w:tcPr>
          <w:p w14:paraId="6D3413E1" w14:textId="77777777" w:rsidR="000A55C6" w:rsidRPr="00950156" w:rsidRDefault="000A55C6"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noWrap/>
            <w:vAlign w:val="bottom"/>
            <w:hideMark/>
          </w:tcPr>
          <w:p w14:paraId="01EB9AC0" w14:textId="77777777" w:rsidR="000A55C6" w:rsidRPr="00950156" w:rsidRDefault="000A55C6"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EAF1DD" w:themeFill="accent3" w:themeFillTint="33"/>
            <w:vAlign w:val="center"/>
          </w:tcPr>
          <w:p w14:paraId="4AA96280" w14:textId="77777777" w:rsidR="008512DE" w:rsidRPr="00867FA7" w:rsidRDefault="008512DE" w:rsidP="008512DE">
            <w:pPr>
              <w:rPr>
                <w:rFonts w:ascii="Helvetica" w:hAnsi="Helvetica" w:cs="Calibri"/>
                <w:color w:val="0070C0"/>
                <w:sz w:val="18"/>
                <w:szCs w:val="18"/>
                <w:highlight w:val="yellow"/>
              </w:rPr>
            </w:pPr>
            <w:r w:rsidRPr="00867FA7">
              <w:rPr>
                <w:rFonts w:ascii="Helvetica" w:hAnsi="Helvetica" w:cs="Calibri"/>
                <w:color w:val="0070C0"/>
                <w:sz w:val="18"/>
                <w:szCs w:val="18"/>
                <w:highlight w:val="yellow"/>
              </w:rPr>
              <w:t>[Indicator] Fraction of total investments made by ratepayers and private capital</w:t>
            </w:r>
          </w:p>
          <w:p w14:paraId="469C5C8A" w14:textId="5007E2E9" w:rsidR="000A55C6" w:rsidRPr="00950156" w:rsidRDefault="000A55C6" w:rsidP="0089630A">
            <w:pPr>
              <w:rPr>
                <w:rFonts w:ascii="Helvetica" w:eastAsia="Times New Roman" w:hAnsi="Helvetica" w:cs="Arial"/>
                <w:sz w:val="18"/>
                <w:szCs w:val="18"/>
              </w:rPr>
            </w:pPr>
          </w:p>
        </w:tc>
        <w:tc>
          <w:tcPr>
            <w:tcW w:w="1607" w:type="dxa"/>
            <w:shd w:val="clear" w:color="auto" w:fill="auto"/>
            <w:vAlign w:val="center"/>
            <w:hideMark/>
          </w:tcPr>
          <w:p w14:paraId="71D2ED40" w14:textId="07FEAEC5" w:rsidR="0048350C" w:rsidRPr="00385620" w:rsidRDefault="0048350C" w:rsidP="0089630A">
            <w:pPr>
              <w:rPr>
                <w:rFonts w:ascii="Helvetica" w:hAnsi="Helvetica" w:cs="Calibri"/>
                <w:color w:val="0070C0"/>
                <w:sz w:val="18"/>
                <w:szCs w:val="18"/>
              </w:rPr>
            </w:pPr>
            <w:r w:rsidRPr="00385620">
              <w:rPr>
                <w:rFonts w:ascii="Helvetica" w:eastAsia="Times New Roman" w:hAnsi="Helvetica" w:cs="Arial"/>
                <w:color w:val="0070C0"/>
                <w:sz w:val="18"/>
                <w:szCs w:val="18"/>
              </w:rPr>
              <w:t xml:space="preserve">[Indicator] </w:t>
            </w:r>
            <w:r w:rsidRPr="00385620">
              <w:rPr>
                <w:rFonts w:ascii="Helvetica" w:hAnsi="Helvetica" w:cs="Calibri"/>
                <w:color w:val="0070C0"/>
                <w:sz w:val="18"/>
                <w:szCs w:val="18"/>
              </w:rPr>
              <w:t>Total program‐backed financing distributed to Public Sector customers requiring repayment (i.e., loans, OBF)</w:t>
            </w:r>
          </w:p>
          <w:p w14:paraId="7796FB17" w14:textId="571AD2F0" w:rsidR="0048350C" w:rsidRPr="00950156" w:rsidRDefault="0048350C" w:rsidP="0089630A">
            <w:pPr>
              <w:rPr>
                <w:rFonts w:ascii="Helvetica" w:eastAsia="Times New Roman" w:hAnsi="Helvetica" w:cs="Arial"/>
                <w:sz w:val="18"/>
                <w:szCs w:val="18"/>
              </w:rPr>
            </w:pPr>
          </w:p>
        </w:tc>
        <w:tc>
          <w:tcPr>
            <w:tcW w:w="1607" w:type="dxa"/>
            <w:shd w:val="clear" w:color="auto" w:fill="auto"/>
            <w:noWrap/>
            <w:vAlign w:val="bottom"/>
            <w:hideMark/>
          </w:tcPr>
          <w:p w14:paraId="762B93D8" w14:textId="77777777" w:rsidR="000A55C6" w:rsidRPr="00950156" w:rsidRDefault="000A55C6"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8" w:type="dxa"/>
            <w:shd w:val="clear" w:color="auto" w:fill="auto"/>
            <w:noWrap/>
            <w:vAlign w:val="bottom"/>
            <w:hideMark/>
          </w:tcPr>
          <w:p w14:paraId="00D3B44B" w14:textId="77777777" w:rsidR="000A55C6" w:rsidRPr="00950156" w:rsidRDefault="000A55C6"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r>
      <w:tr w:rsidR="007121D2" w:rsidRPr="007121D2" w14:paraId="073F6EE0" w14:textId="77777777" w:rsidTr="00D30834">
        <w:trPr>
          <w:cantSplit/>
          <w:trHeight w:val="20"/>
        </w:trPr>
        <w:tc>
          <w:tcPr>
            <w:tcW w:w="1607" w:type="dxa"/>
            <w:shd w:val="clear" w:color="auto" w:fill="auto"/>
            <w:vAlign w:val="center"/>
            <w:hideMark/>
          </w:tcPr>
          <w:p w14:paraId="3C91A629" w14:textId="77777777" w:rsidR="000A55C6" w:rsidRPr="007121D2" w:rsidRDefault="000A55C6" w:rsidP="0089630A">
            <w:pPr>
              <w:rPr>
                <w:rFonts w:ascii="Helvetica" w:eastAsia="Times New Roman" w:hAnsi="Helvetica" w:cs="Arial"/>
                <w:sz w:val="18"/>
                <w:szCs w:val="18"/>
              </w:rPr>
            </w:pPr>
            <w:r w:rsidRPr="007121D2">
              <w:rPr>
                <w:rFonts w:ascii="Helvetica" w:eastAsia="Times New Roman" w:hAnsi="Helvetica" w:cs="Arial"/>
                <w:sz w:val="18"/>
                <w:szCs w:val="18"/>
              </w:rPr>
              <w:t>Disadvantaged communities</w:t>
            </w:r>
          </w:p>
        </w:tc>
        <w:tc>
          <w:tcPr>
            <w:tcW w:w="1607" w:type="dxa"/>
            <w:shd w:val="clear" w:color="auto" w:fill="auto"/>
            <w:vAlign w:val="center"/>
            <w:hideMark/>
          </w:tcPr>
          <w:p w14:paraId="58F07A3F" w14:textId="77777777" w:rsidR="003F2113" w:rsidRPr="00950156" w:rsidRDefault="003F2113" w:rsidP="0089630A">
            <w:pPr>
              <w:rPr>
                <w:rFonts w:ascii="Helvetica" w:hAnsi="Helvetica" w:cs="Calibri"/>
                <w:sz w:val="18"/>
                <w:szCs w:val="18"/>
                <w:u w:val="single"/>
              </w:rPr>
            </w:pPr>
            <w:r w:rsidRPr="00950156">
              <w:rPr>
                <w:rFonts w:ascii="Helvetica" w:hAnsi="Helvetica" w:cs="Calibri"/>
                <w:sz w:val="18"/>
                <w:szCs w:val="18"/>
                <w:u w:val="single"/>
              </w:rPr>
              <w:t>First year annual and lifecycle ex‐ante (pre‐evaluation) gas, electric, and demand savings (gross and net) in disadvantaged communities</w:t>
            </w:r>
          </w:p>
          <w:p w14:paraId="3AA03E46" w14:textId="3658CA93" w:rsidR="003F2113" w:rsidRPr="00950156" w:rsidRDefault="003F2113" w:rsidP="0089630A">
            <w:pPr>
              <w:rPr>
                <w:rFonts w:ascii="Helvetica" w:eastAsia="Times New Roman" w:hAnsi="Helvetica" w:cs="Arial"/>
                <w:sz w:val="18"/>
                <w:szCs w:val="18"/>
              </w:rPr>
            </w:pPr>
          </w:p>
        </w:tc>
        <w:tc>
          <w:tcPr>
            <w:tcW w:w="1607" w:type="dxa"/>
            <w:shd w:val="clear" w:color="auto" w:fill="auto"/>
            <w:noWrap/>
            <w:vAlign w:val="bottom"/>
            <w:hideMark/>
          </w:tcPr>
          <w:p w14:paraId="3081D2EE" w14:textId="77777777" w:rsidR="000A55C6" w:rsidRPr="00950156" w:rsidRDefault="000A55C6"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noWrap/>
            <w:vAlign w:val="bottom"/>
            <w:hideMark/>
          </w:tcPr>
          <w:p w14:paraId="7F85C395" w14:textId="77777777" w:rsidR="000A55C6" w:rsidRPr="00950156" w:rsidRDefault="000A55C6"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noWrap/>
            <w:vAlign w:val="bottom"/>
            <w:hideMark/>
          </w:tcPr>
          <w:p w14:paraId="49AD2423" w14:textId="77777777" w:rsidR="000A55C6" w:rsidRPr="00950156" w:rsidRDefault="000A55C6"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noWrap/>
            <w:vAlign w:val="bottom"/>
            <w:hideMark/>
          </w:tcPr>
          <w:p w14:paraId="12503A0B" w14:textId="77777777" w:rsidR="000A55C6" w:rsidRPr="00950156" w:rsidRDefault="000A55C6"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noWrap/>
            <w:vAlign w:val="bottom"/>
            <w:hideMark/>
          </w:tcPr>
          <w:p w14:paraId="2ACF7DFB" w14:textId="77777777" w:rsidR="000A55C6" w:rsidRPr="00950156" w:rsidRDefault="000A55C6"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8" w:type="dxa"/>
            <w:shd w:val="clear" w:color="auto" w:fill="auto"/>
            <w:noWrap/>
            <w:vAlign w:val="bottom"/>
            <w:hideMark/>
          </w:tcPr>
          <w:p w14:paraId="7520D2AF" w14:textId="77777777" w:rsidR="000A55C6" w:rsidRPr="00950156" w:rsidRDefault="000A55C6"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r>
      <w:tr w:rsidR="007121D2" w:rsidRPr="007121D2" w14:paraId="76A816A0" w14:textId="77777777" w:rsidTr="00D30834">
        <w:trPr>
          <w:cantSplit/>
          <w:trHeight w:val="20"/>
        </w:trPr>
        <w:tc>
          <w:tcPr>
            <w:tcW w:w="1607" w:type="dxa"/>
            <w:shd w:val="clear" w:color="auto" w:fill="auto"/>
            <w:vAlign w:val="center"/>
            <w:hideMark/>
          </w:tcPr>
          <w:p w14:paraId="278D3F0C" w14:textId="77777777" w:rsidR="000A55C6" w:rsidRPr="007121D2" w:rsidRDefault="000A55C6" w:rsidP="0089630A">
            <w:pPr>
              <w:rPr>
                <w:rFonts w:ascii="Helvetica" w:eastAsia="Times New Roman" w:hAnsi="Helvetica" w:cs="Arial"/>
                <w:sz w:val="18"/>
                <w:szCs w:val="18"/>
              </w:rPr>
            </w:pPr>
            <w:r w:rsidRPr="007121D2">
              <w:rPr>
                <w:rFonts w:ascii="Helvetica" w:eastAsia="Times New Roman" w:hAnsi="Helvetica" w:cs="Arial"/>
                <w:sz w:val="18"/>
                <w:szCs w:val="18"/>
              </w:rPr>
              <w:t>Hard to reach markets</w:t>
            </w:r>
          </w:p>
        </w:tc>
        <w:tc>
          <w:tcPr>
            <w:tcW w:w="1607" w:type="dxa"/>
            <w:shd w:val="clear" w:color="auto" w:fill="auto"/>
            <w:vAlign w:val="center"/>
            <w:hideMark/>
          </w:tcPr>
          <w:p w14:paraId="58BFE1B0" w14:textId="77777777" w:rsidR="003F2113" w:rsidRPr="00950156" w:rsidRDefault="003F2113" w:rsidP="0089630A">
            <w:pPr>
              <w:rPr>
                <w:rFonts w:ascii="Helvetica" w:hAnsi="Helvetica" w:cs="Calibri"/>
                <w:sz w:val="18"/>
                <w:szCs w:val="18"/>
              </w:rPr>
            </w:pPr>
            <w:r w:rsidRPr="00950156">
              <w:rPr>
                <w:rFonts w:ascii="Helvetica" w:hAnsi="Helvetica" w:cs="Calibri"/>
                <w:sz w:val="18"/>
                <w:szCs w:val="18"/>
              </w:rPr>
              <w:t>First year annual and lifecycle ex‐ante (pre‐evaluation) gas, electric, and demand savings (gross and net) in hard‐to‐reach markets</w:t>
            </w:r>
          </w:p>
          <w:p w14:paraId="70B8879F" w14:textId="4389E142" w:rsidR="003F2113" w:rsidRPr="00950156" w:rsidRDefault="003F2113" w:rsidP="0089630A">
            <w:pPr>
              <w:rPr>
                <w:rFonts w:ascii="Helvetica" w:eastAsia="Times New Roman" w:hAnsi="Helvetica" w:cs="Arial"/>
                <w:sz w:val="18"/>
                <w:szCs w:val="18"/>
              </w:rPr>
            </w:pPr>
          </w:p>
        </w:tc>
        <w:tc>
          <w:tcPr>
            <w:tcW w:w="1607" w:type="dxa"/>
            <w:shd w:val="clear" w:color="auto" w:fill="auto"/>
            <w:noWrap/>
            <w:vAlign w:val="bottom"/>
            <w:hideMark/>
          </w:tcPr>
          <w:p w14:paraId="7237DDEA" w14:textId="77777777" w:rsidR="000A55C6" w:rsidRPr="00950156" w:rsidRDefault="000A55C6"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noWrap/>
            <w:vAlign w:val="bottom"/>
            <w:hideMark/>
          </w:tcPr>
          <w:p w14:paraId="64493D49" w14:textId="77777777" w:rsidR="000A55C6" w:rsidRPr="00950156" w:rsidRDefault="000A55C6"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noWrap/>
            <w:vAlign w:val="bottom"/>
            <w:hideMark/>
          </w:tcPr>
          <w:p w14:paraId="68C10D48" w14:textId="77777777" w:rsidR="000A55C6" w:rsidRPr="00950156" w:rsidRDefault="000A55C6"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noWrap/>
            <w:vAlign w:val="bottom"/>
            <w:hideMark/>
          </w:tcPr>
          <w:p w14:paraId="51277559" w14:textId="77777777" w:rsidR="000A55C6" w:rsidRPr="00950156" w:rsidRDefault="000A55C6"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noWrap/>
            <w:vAlign w:val="bottom"/>
            <w:hideMark/>
          </w:tcPr>
          <w:p w14:paraId="71CDAA46" w14:textId="77777777" w:rsidR="000A55C6" w:rsidRPr="00950156" w:rsidRDefault="000A55C6"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8" w:type="dxa"/>
            <w:shd w:val="clear" w:color="auto" w:fill="auto"/>
            <w:noWrap/>
            <w:vAlign w:val="bottom"/>
            <w:hideMark/>
          </w:tcPr>
          <w:p w14:paraId="7A0A428D" w14:textId="77777777" w:rsidR="000A55C6" w:rsidRPr="00950156" w:rsidRDefault="000A55C6"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r>
      <w:tr w:rsidR="007121D2" w:rsidRPr="007121D2" w14:paraId="4DAE2EF4" w14:textId="77777777" w:rsidTr="00593E74">
        <w:trPr>
          <w:cantSplit/>
          <w:trHeight w:val="20"/>
        </w:trPr>
        <w:tc>
          <w:tcPr>
            <w:tcW w:w="1607" w:type="dxa"/>
            <w:shd w:val="clear" w:color="auto" w:fill="auto"/>
            <w:vAlign w:val="center"/>
            <w:hideMark/>
          </w:tcPr>
          <w:p w14:paraId="2978FE9F" w14:textId="77777777" w:rsidR="000A55C6" w:rsidRPr="007121D2" w:rsidRDefault="000A55C6" w:rsidP="0089630A">
            <w:pPr>
              <w:rPr>
                <w:rFonts w:ascii="Helvetica" w:eastAsia="Times New Roman" w:hAnsi="Helvetica" w:cs="Arial"/>
                <w:sz w:val="18"/>
                <w:szCs w:val="18"/>
              </w:rPr>
            </w:pPr>
            <w:r w:rsidRPr="007121D2">
              <w:rPr>
                <w:rFonts w:ascii="Helvetica" w:eastAsia="Times New Roman" w:hAnsi="Helvetica" w:cs="Arial"/>
                <w:sz w:val="18"/>
                <w:szCs w:val="18"/>
              </w:rPr>
              <w:lastRenderedPageBreak/>
              <w:t>New participation</w:t>
            </w:r>
          </w:p>
        </w:tc>
        <w:tc>
          <w:tcPr>
            <w:tcW w:w="1607" w:type="dxa"/>
            <w:shd w:val="clear" w:color="auto" w:fill="auto"/>
            <w:noWrap/>
            <w:vAlign w:val="bottom"/>
            <w:hideMark/>
          </w:tcPr>
          <w:p w14:paraId="21CCF567" w14:textId="77777777" w:rsidR="000A55C6" w:rsidRPr="00950156" w:rsidRDefault="000A55C6"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noWrap/>
            <w:vAlign w:val="bottom"/>
            <w:hideMark/>
          </w:tcPr>
          <w:p w14:paraId="4EEF2983" w14:textId="77777777" w:rsidR="000A55C6" w:rsidRPr="00950156" w:rsidRDefault="000A55C6"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noWrap/>
            <w:vAlign w:val="bottom"/>
            <w:hideMark/>
          </w:tcPr>
          <w:p w14:paraId="4818702A" w14:textId="77777777" w:rsidR="000A55C6" w:rsidRPr="00950156" w:rsidRDefault="000A55C6"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noWrap/>
            <w:vAlign w:val="bottom"/>
            <w:hideMark/>
          </w:tcPr>
          <w:p w14:paraId="6C93D279" w14:textId="77777777" w:rsidR="000A55C6" w:rsidRPr="00950156" w:rsidRDefault="000A55C6"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noWrap/>
            <w:vAlign w:val="bottom"/>
            <w:hideMark/>
          </w:tcPr>
          <w:p w14:paraId="7DFE5647" w14:textId="77777777" w:rsidR="000A55C6" w:rsidRPr="00950156" w:rsidRDefault="000A55C6"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c>
          <w:tcPr>
            <w:tcW w:w="1607" w:type="dxa"/>
            <w:shd w:val="clear" w:color="auto" w:fill="auto"/>
            <w:vAlign w:val="center"/>
            <w:hideMark/>
          </w:tcPr>
          <w:p w14:paraId="0E0E2EF8" w14:textId="49D28C08" w:rsidR="007B0AF7" w:rsidRPr="00385620" w:rsidRDefault="007B0AF7" w:rsidP="0089630A">
            <w:pPr>
              <w:rPr>
                <w:rFonts w:ascii="Helvetica" w:hAnsi="Helvetica" w:cs="Calibri"/>
                <w:color w:val="0070C0"/>
                <w:sz w:val="18"/>
                <w:szCs w:val="18"/>
              </w:rPr>
            </w:pPr>
            <w:r w:rsidRPr="00385620">
              <w:rPr>
                <w:rFonts w:ascii="Helvetica" w:hAnsi="Helvetica" w:cs="Calibri"/>
                <w:color w:val="0070C0"/>
                <w:sz w:val="18"/>
                <w:szCs w:val="18"/>
              </w:rPr>
              <w:t>[Indicator] Percent of customers participating that have not received an incentive for the past three years, annually, by small, medium and large customer categories</w:t>
            </w:r>
          </w:p>
          <w:p w14:paraId="2140D868" w14:textId="0DD231FE" w:rsidR="007B0AF7" w:rsidRPr="00950156" w:rsidRDefault="007B0AF7" w:rsidP="0089630A">
            <w:pPr>
              <w:rPr>
                <w:rFonts w:ascii="Helvetica" w:eastAsia="Times New Roman" w:hAnsi="Helvetica" w:cs="Arial"/>
                <w:sz w:val="18"/>
                <w:szCs w:val="18"/>
              </w:rPr>
            </w:pPr>
          </w:p>
        </w:tc>
        <w:tc>
          <w:tcPr>
            <w:tcW w:w="1608" w:type="dxa"/>
            <w:shd w:val="clear" w:color="auto" w:fill="auto"/>
            <w:noWrap/>
            <w:vAlign w:val="bottom"/>
            <w:hideMark/>
          </w:tcPr>
          <w:p w14:paraId="4FBAD5F0" w14:textId="77777777" w:rsidR="000A55C6" w:rsidRPr="00950156" w:rsidRDefault="000A55C6" w:rsidP="0089630A">
            <w:pPr>
              <w:rPr>
                <w:rFonts w:ascii="Helvetica" w:eastAsia="Times New Roman" w:hAnsi="Helvetica" w:cs="Arial"/>
                <w:sz w:val="18"/>
                <w:szCs w:val="18"/>
              </w:rPr>
            </w:pPr>
            <w:r w:rsidRPr="00950156">
              <w:rPr>
                <w:rFonts w:ascii="Helvetica" w:eastAsia="Times New Roman" w:hAnsi="Helvetica" w:cs="Arial"/>
                <w:sz w:val="18"/>
                <w:szCs w:val="18"/>
              </w:rPr>
              <w:t> </w:t>
            </w:r>
          </w:p>
        </w:tc>
      </w:tr>
      <w:tr w:rsidR="007121D2" w:rsidRPr="007121D2" w14:paraId="29831079" w14:textId="77777777" w:rsidTr="00D8206E">
        <w:trPr>
          <w:cantSplit/>
          <w:trHeight w:val="20"/>
        </w:trPr>
        <w:tc>
          <w:tcPr>
            <w:tcW w:w="1607" w:type="dxa"/>
            <w:shd w:val="clear" w:color="auto" w:fill="auto"/>
            <w:vAlign w:val="center"/>
          </w:tcPr>
          <w:p w14:paraId="60726258" w14:textId="1926CB2C" w:rsidR="00876F9C" w:rsidRPr="007121D2" w:rsidRDefault="00876F9C" w:rsidP="0089630A">
            <w:pPr>
              <w:rPr>
                <w:rFonts w:ascii="Helvetica" w:eastAsia="Times New Roman" w:hAnsi="Helvetica" w:cs="Arial"/>
                <w:sz w:val="18"/>
                <w:szCs w:val="18"/>
              </w:rPr>
            </w:pPr>
            <w:r w:rsidRPr="007121D2">
              <w:rPr>
                <w:rFonts w:ascii="Helvetica" w:eastAsia="Times New Roman" w:hAnsi="Helvetica" w:cs="Arial"/>
                <w:sz w:val="18"/>
                <w:szCs w:val="18"/>
              </w:rPr>
              <w:t>GHG</w:t>
            </w:r>
          </w:p>
        </w:tc>
        <w:tc>
          <w:tcPr>
            <w:tcW w:w="1607" w:type="dxa"/>
            <w:shd w:val="clear" w:color="auto" w:fill="auto"/>
            <w:noWrap/>
            <w:vAlign w:val="bottom"/>
          </w:tcPr>
          <w:p w14:paraId="1F33B066" w14:textId="77777777" w:rsidR="00876F9C" w:rsidRPr="00950156" w:rsidRDefault="00876F9C" w:rsidP="0089630A">
            <w:pPr>
              <w:rPr>
                <w:rFonts w:ascii="Helvetica" w:eastAsia="Times New Roman" w:hAnsi="Helvetica" w:cs="Arial"/>
                <w:sz w:val="18"/>
                <w:szCs w:val="18"/>
              </w:rPr>
            </w:pPr>
          </w:p>
        </w:tc>
        <w:tc>
          <w:tcPr>
            <w:tcW w:w="1607" w:type="dxa"/>
            <w:shd w:val="clear" w:color="auto" w:fill="auto"/>
            <w:noWrap/>
            <w:vAlign w:val="bottom"/>
          </w:tcPr>
          <w:p w14:paraId="286BEABE" w14:textId="77777777" w:rsidR="00876F9C" w:rsidRPr="00867FA7" w:rsidRDefault="00876F9C" w:rsidP="0089630A">
            <w:pPr>
              <w:rPr>
                <w:rFonts w:ascii="Helvetica" w:hAnsi="Helvetica" w:cs="Calibri"/>
                <w:sz w:val="18"/>
                <w:szCs w:val="18"/>
                <w:highlight w:val="yellow"/>
              </w:rPr>
            </w:pPr>
            <w:r w:rsidRPr="00867FA7">
              <w:rPr>
                <w:rFonts w:ascii="Helvetica" w:hAnsi="Helvetica" w:cs="Calibri"/>
                <w:sz w:val="18"/>
                <w:szCs w:val="18"/>
                <w:highlight w:val="yellow"/>
              </w:rPr>
              <w:t>Greenhouse gasses (MT CO2eq) Net kWh savings, reported on an annual basis</w:t>
            </w:r>
          </w:p>
          <w:p w14:paraId="1D02F826" w14:textId="77777777" w:rsidR="00876F9C" w:rsidRPr="006E22BF" w:rsidRDefault="00876F9C" w:rsidP="0089630A">
            <w:pPr>
              <w:rPr>
                <w:rFonts w:ascii="Helvetica" w:eastAsia="Times New Roman" w:hAnsi="Helvetica" w:cs="Arial"/>
                <w:sz w:val="18"/>
                <w:szCs w:val="18"/>
                <w:highlight w:val="cyan"/>
              </w:rPr>
            </w:pPr>
          </w:p>
        </w:tc>
        <w:tc>
          <w:tcPr>
            <w:tcW w:w="1607" w:type="dxa"/>
            <w:shd w:val="clear" w:color="auto" w:fill="auto"/>
            <w:noWrap/>
            <w:vAlign w:val="bottom"/>
          </w:tcPr>
          <w:p w14:paraId="1A96A7E4" w14:textId="77777777" w:rsidR="00DD2BC7" w:rsidRPr="00867FA7" w:rsidRDefault="00DD2BC7" w:rsidP="00DD2BC7">
            <w:pPr>
              <w:rPr>
                <w:rFonts w:ascii="Helvetica" w:hAnsi="Helvetica" w:cs="Calibri"/>
                <w:sz w:val="18"/>
                <w:szCs w:val="18"/>
                <w:highlight w:val="yellow"/>
              </w:rPr>
            </w:pPr>
            <w:r w:rsidRPr="00867FA7">
              <w:rPr>
                <w:rFonts w:ascii="Helvetica" w:hAnsi="Helvetica" w:cs="Calibri"/>
                <w:sz w:val="18"/>
                <w:szCs w:val="18"/>
                <w:highlight w:val="yellow"/>
              </w:rPr>
              <w:t>Greenhouse gasses (MT CO2eq) Net kWh savings, reported on an annual basis</w:t>
            </w:r>
          </w:p>
          <w:p w14:paraId="15F67B09" w14:textId="77777777" w:rsidR="00876F9C" w:rsidRPr="00950156" w:rsidRDefault="00876F9C" w:rsidP="0089630A">
            <w:pPr>
              <w:rPr>
                <w:rFonts w:ascii="Helvetica" w:eastAsia="Times New Roman" w:hAnsi="Helvetica" w:cs="Arial"/>
                <w:sz w:val="18"/>
                <w:szCs w:val="18"/>
                <w:highlight w:val="yellow"/>
              </w:rPr>
            </w:pPr>
          </w:p>
        </w:tc>
        <w:tc>
          <w:tcPr>
            <w:tcW w:w="1607" w:type="dxa"/>
            <w:tcBorders>
              <w:bottom w:val="single" w:sz="4" w:space="0" w:color="auto"/>
            </w:tcBorders>
            <w:shd w:val="clear" w:color="auto" w:fill="auto"/>
            <w:noWrap/>
            <w:vAlign w:val="bottom"/>
          </w:tcPr>
          <w:p w14:paraId="2161EDA4" w14:textId="77777777" w:rsidR="00523767" w:rsidRPr="00867FA7" w:rsidRDefault="00523767" w:rsidP="0089630A">
            <w:pPr>
              <w:rPr>
                <w:rFonts w:ascii="Helvetica" w:hAnsi="Helvetica" w:cs="Calibri"/>
                <w:sz w:val="18"/>
                <w:szCs w:val="18"/>
                <w:highlight w:val="yellow"/>
              </w:rPr>
            </w:pPr>
            <w:r w:rsidRPr="00867FA7">
              <w:rPr>
                <w:rFonts w:ascii="Helvetica" w:hAnsi="Helvetica" w:cs="Calibri"/>
                <w:sz w:val="18"/>
                <w:szCs w:val="18"/>
                <w:highlight w:val="yellow"/>
              </w:rPr>
              <w:t>Greenhouse gasses (MT CO2eq) Net kWh savings, reported on an annual basis</w:t>
            </w:r>
          </w:p>
          <w:p w14:paraId="2BDAC8B6" w14:textId="77777777" w:rsidR="00876F9C" w:rsidRPr="00950156" w:rsidRDefault="00876F9C" w:rsidP="0089630A">
            <w:pPr>
              <w:rPr>
                <w:rFonts w:ascii="Helvetica" w:eastAsia="Times New Roman" w:hAnsi="Helvetica" w:cs="Arial"/>
                <w:sz w:val="18"/>
                <w:szCs w:val="18"/>
                <w:highlight w:val="yellow"/>
              </w:rPr>
            </w:pPr>
          </w:p>
        </w:tc>
        <w:tc>
          <w:tcPr>
            <w:tcW w:w="1607" w:type="dxa"/>
            <w:shd w:val="clear" w:color="auto" w:fill="auto"/>
            <w:noWrap/>
            <w:vAlign w:val="bottom"/>
          </w:tcPr>
          <w:p w14:paraId="7B947E61" w14:textId="77777777" w:rsidR="002277CA" w:rsidRPr="00867FA7" w:rsidRDefault="002277CA" w:rsidP="0089630A">
            <w:pPr>
              <w:rPr>
                <w:rFonts w:ascii="Helvetica" w:hAnsi="Helvetica" w:cs="Calibri"/>
                <w:sz w:val="18"/>
                <w:szCs w:val="18"/>
                <w:highlight w:val="yellow"/>
              </w:rPr>
            </w:pPr>
            <w:r w:rsidRPr="00867FA7">
              <w:rPr>
                <w:rFonts w:ascii="Helvetica" w:hAnsi="Helvetica" w:cs="Calibri"/>
                <w:sz w:val="18"/>
                <w:szCs w:val="18"/>
                <w:highlight w:val="yellow"/>
              </w:rPr>
              <w:t>Greenhouse gasses (MT CO2eq) based on net lifecycle kWh and Therms savings, reported on an annual basis, incorporating average fuel/technology mix</w:t>
            </w:r>
          </w:p>
          <w:p w14:paraId="0352A9B0" w14:textId="77777777" w:rsidR="00876F9C" w:rsidRPr="00950156" w:rsidRDefault="00876F9C" w:rsidP="0089630A">
            <w:pPr>
              <w:rPr>
                <w:rFonts w:ascii="Helvetica" w:eastAsia="Times New Roman" w:hAnsi="Helvetica" w:cs="Arial"/>
                <w:sz w:val="18"/>
                <w:szCs w:val="18"/>
                <w:highlight w:val="yellow"/>
              </w:rPr>
            </w:pPr>
          </w:p>
        </w:tc>
        <w:tc>
          <w:tcPr>
            <w:tcW w:w="1607" w:type="dxa"/>
            <w:shd w:val="clear" w:color="auto" w:fill="auto"/>
            <w:vAlign w:val="center"/>
          </w:tcPr>
          <w:p w14:paraId="076BF04D" w14:textId="77777777" w:rsidR="00F66EDA" w:rsidRPr="00867FA7" w:rsidRDefault="00F66EDA" w:rsidP="0089630A">
            <w:pPr>
              <w:rPr>
                <w:rFonts w:ascii="Helvetica" w:hAnsi="Helvetica" w:cs="Calibri"/>
                <w:sz w:val="18"/>
                <w:szCs w:val="18"/>
                <w:highlight w:val="yellow"/>
              </w:rPr>
            </w:pPr>
            <w:r w:rsidRPr="00867FA7">
              <w:rPr>
                <w:rFonts w:ascii="Helvetica" w:hAnsi="Helvetica" w:cs="Calibri"/>
                <w:sz w:val="18"/>
                <w:szCs w:val="18"/>
                <w:highlight w:val="yellow"/>
              </w:rPr>
              <w:t>Greenhouse gasses (MT CO2eq) Net kWh savings, reported on an annual basis</w:t>
            </w:r>
          </w:p>
          <w:p w14:paraId="154487ED" w14:textId="77777777" w:rsidR="00876F9C" w:rsidRPr="00950156" w:rsidRDefault="00876F9C" w:rsidP="0089630A">
            <w:pPr>
              <w:rPr>
                <w:rFonts w:ascii="Helvetica" w:eastAsia="Times New Roman" w:hAnsi="Helvetica" w:cs="Arial"/>
                <w:sz w:val="18"/>
                <w:szCs w:val="18"/>
                <w:highlight w:val="yellow"/>
              </w:rPr>
            </w:pPr>
          </w:p>
        </w:tc>
        <w:tc>
          <w:tcPr>
            <w:tcW w:w="1608" w:type="dxa"/>
            <w:shd w:val="clear" w:color="auto" w:fill="auto"/>
            <w:noWrap/>
            <w:vAlign w:val="bottom"/>
          </w:tcPr>
          <w:p w14:paraId="4F28D6E7" w14:textId="77777777" w:rsidR="00630F80" w:rsidRPr="00867FA7" w:rsidRDefault="00630F80" w:rsidP="0089630A">
            <w:pPr>
              <w:rPr>
                <w:rFonts w:ascii="Helvetica" w:hAnsi="Helvetica" w:cs="Calibri"/>
                <w:sz w:val="18"/>
                <w:szCs w:val="18"/>
                <w:highlight w:val="yellow"/>
              </w:rPr>
            </w:pPr>
            <w:r w:rsidRPr="00867FA7">
              <w:rPr>
                <w:rFonts w:ascii="Helvetica" w:hAnsi="Helvetica" w:cs="Calibri"/>
                <w:sz w:val="18"/>
                <w:szCs w:val="18"/>
                <w:highlight w:val="yellow"/>
              </w:rPr>
              <w:t>Greenhouse gasses (MT CO2eq) Net kWh savings, reported on an annual basis</w:t>
            </w:r>
          </w:p>
          <w:p w14:paraId="011F516A" w14:textId="77777777" w:rsidR="00876F9C" w:rsidRPr="00867FA7" w:rsidRDefault="00876F9C" w:rsidP="0089630A">
            <w:pPr>
              <w:rPr>
                <w:rFonts w:ascii="Helvetica" w:eastAsia="Times New Roman" w:hAnsi="Helvetica" w:cs="Arial"/>
                <w:sz w:val="18"/>
                <w:szCs w:val="18"/>
                <w:highlight w:val="yellow"/>
              </w:rPr>
            </w:pPr>
          </w:p>
        </w:tc>
      </w:tr>
      <w:tr w:rsidR="007121D2" w:rsidRPr="007121D2" w14:paraId="78D4A47F" w14:textId="77777777" w:rsidTr="00D8206E">
        <w:trPr>
          <w:cantSplit/>
          <w:trHeight w:val="20"/>
        </w:trPr>
        <w:tc>
          <w:tcPr>
            <w:tcW w:w="1607" w:type="dxa"/>
            <w:shd w:val="clear" w:color="auto" w:fill="auto"/>
            <w:vAlign w:val="center"/>
          </w:tcPr>
          <w:p w14:paraId="02B0FF8A" w14:textId="7B9C4239" w:rsidR="00B36BAA" w:rsidRPr="007121D2" w:rsidRDefault="00C23612" w:rsidP="0089630A">
            <w:pPr>
              <w:rPr>
                <w:rFonts w:ascii="Helvetica" w:eastAsia="Times New Roman" w:hAnsi="Helvetica" w:cs="Arial"/>
                <w:sz w:val="18"/>
                <w:szCs w:val="18"/>
              </w:rPr>
            </w:pPr>
            <w:r w:rsidRPr="007121D2">
              <w:rPr>
                <w:rFonts w:ascii="Helvetica" w:eastAsia="Times New Roman" w:hAnsi="Helvetica" w:cs="Arial"/>
                <w:sz w:val="18"/>
                <w:szCs w:val="18"/>
              </w:rPr>
              <w:t>New</w:t>
            </w:r>
          </w:p>
        </w:tc>
        <w:tc>
          <w:tcPr>
            <w:tcW w:w="1607" w:type="dxa"/>
            <w:shd w:val="clear" w:color="auto" w:fill="auto"/>
            <w:noWrap/>
            <w:vAlign w:val="bottom"/>
          </w:tcPr>
          <w:p w14:paraId="5B47FAB7" w14:textId="77777777" w:rsidR="00B36BAA" w:rsidRPr="00950156" w:rsidRDefault="00B36BAA" w:rsidP="0089630A">
            <w:pPr>
              <w:rPr>
                <w:rFonts w:ascii="Helvetica" w:eastAsia="Times New Roman" w:hAnsi="Helvetica" w:cs="Arial"/>
                <w:sz w:val="18"/>
                <w:szCs w:val="18"/>
              </w:rPr>
            </w:pPr>
          </w:p>
        </w:tc>
        <w:tc>
          <w:tcPr>
            <w:tcW w:w="1607" w:type="dxa"/>
            <w:shd w:val="clear" w:color="auto" w:fill="auto"/>
            <w:noWrap/>
            <w:vAlign w:val="bottom"/>
          </w:tcPr>
          <w:p w14:paraId="736A376A" w14:textId="77777777" w:rsidR="00B36BAA" w:rsidRPr="00950156" w:rsidRDefault="00B36BAA" w:rsidP="0089630A">
            <w:pPr>
              <w:rPr>
                <w:rFonts w:ascii="Helvetica" w:hAnsi="Helvetica" w:cs="Calibri"/>
                <w:sz w:val="18"/>
                <w:szCs w:val="18"/>
              </w:rPr>
            </w:pPr>
          </w:p>
        </w:tc>
        <w:tc>
          <w:tcPr>
            <w:tcW w:w="1607" w:type="dxa"/>
            <w:shd w:val="clear" w:color="auto" w:fill="auto"/>
            <w:noWrap/>
            <w:vAlign w:val="bottom"/>
          </w:tcPr>
          <w:p w14:paraId="4CDCD4CB" w14:textId="77777777" w:rsidR="00B36BAA" w:rsidRPr="00950156" w:rsidRDefault="00B36BAA" w:rsidP="0089630A">
            <w:pPr>
              <w:rPr>
                <w:rFonts w:ascii="Helvetica" w:hAnsi="Helvetica" w:cs="Calibri"/>
                <w:sz w:val="18"/>
                <w:szCs w:val="18"/>
              </w:rPr>
            </w:pPr>
          </w:p>
        </w:tc>
        <w:tc>
          <w:tcPr>
            <w:tcW w:w="1607" w:type="dxa"/>
            <w:shd w:val="clear" w:color="auto" w:fill="EAF1DD" w:themeFill="accent3" w:themeFillTint="33"/>
            <w:noWrap/>
            <w:vAlign w:val="bottom"/>
          </w:tcPr>
          <w:p w14:paraId="177E970E" w14:textId="16E09DE5" w:rsidR="00B36BAA" w:rsidRPr="00867FA7" w:rsidRDefault="00B36BAA" w:rsidP="0089630A">
            <w:pPr>
              <w:rPr>
                <w:rFonts w:ascii="Helvetica" w:hAnsi="Helvetica" w:cs="Calibri"/>
                <w:color w:val="0070C0"/>
                <w:sz w:val="18"/>
                <w:szCs w:val="18"/>
                <w:highlight w:val="yellow"/>
              </w:rPr>
            </w:pPr>
            <w:r w:rsidRPr="00867FA7">
              <w:rPr>
                <w:rFonts w:ascii="Helvetica" w:hAnsi="Helvetica" w:cs="Calibri"/>
                <w:color w:val="0070C0"/>
                <w:sz w:val="18"/>
                <w:szCs w:val="18"/>
                <w:highlight w:val="yellow"/>
              </w:rPr>
              <w:t>[Indicator] Fraction of total projects utilizing Normalized</w:t>
            </w:r>
            <w:r w:rsidR="00385620" w:rsidRPr="00867FA7">
              <w:rPr>
                <w:rFonts w:ascii="Helvetica" w:hAnsi="Helvetica" w:cs="Calibri"/>
                <w:color w:val="0070C0"/>
                <w:sz w:val="18"/>
                <w:szCs w:val="18"/>
                <w:highlight w:val="yellow"/>
              </w:rPr>
              <w:t xml:space="preserve"> </w:t>
            </w:r>
            <w:r w:rsidRPr="00867FA7">
              <w:rPr>
                <w:rFonts w:ascii="Helvetica" w:hAnsi="Helvetica" w:cs="Calibri"/>
                <w:color w:val="0070C0"/>
                <w:sz w:val="18"/>
                <w:szCs w:val="18"/>
                <w:highlight w:val="yellow"/>
              </w:rPr>
              <w:t>Metered Energy</w:t>
            </w:r>
            <w:r w:rsidRPr="00867FA7">
              <w:rPr>
                <w:rFonts w:ascii="Helvetica" w:hAnsi="Helvetica" w:cs="Calibri"/>
                <w:color w:val="0070C0"/>
                <w:sz w:val="18"/>
                <w:szCs w:val="18"/>
                <w:highlight w:val="yellow"/>
              </w:rPr>
              <w:br/>
              <w:t>Consumption (NMEC) to estimate savings</w:t>
            </w:r>
          </w:p>
          <w:p w14:paraId="4EDC502E" w14:textId="57392FCE" w:rsidR="00B36BAA" w:rsidRPr="00867FA7" w:rsidRDefault="00B36BAA" w:rsidP="0089630A">
            <w:pPr>
              <w:rPr>
                <w:rFonts w:ascii="Helvetica" w:hAnsi="Helvetica" w:cs="Calibri"/>
                <w:sz w:val="18"/>
                <w:szCs w:val="18"/>
                <w:highlight w:val="yellow"/>
              </w:rPr>
            </w:pPr>
          </w:p>
        </w:tc>
        <w:tc>
          <w:tcPr>
            <w:tcW w:w="1607" w:type="dxa"/>
            <w:shd w:val="clear" w:color="auto" w:fill="auto"/>
            <w:noWrap/>
            <w:vAlign w:val="bottom"/>
          </w:tcPr>
          <w:p w14:paraId="74FCC5C8" w14:textId="77777777" w:rsidR="00B36BAA" w:rsidRPr="00950156" w:rsidRDefault="00B36BAA" w:rsidP="0089630A">
            <w:pPr>
              <w:rPr>
                <w:rFonts w:ascii="Helvetica" w:eastAsia="Times New Roman" w:hAnsi="Helvetica" w:cs="Arial"/>
                <w:sz w:val="18"/>
                <w:szCs w:val="18"/>
              </w:rPr>
            </w:pPr>
          </w:p>
        </w:tc>
        <w:tc>
          <w:tcPr>
            <w:tcW w:w="1607" w:type="dxa"/>
            <w:shd w:val="clear" w:color="auto" w:fill="auto"/>
            <w:vAlign w:val="center"/>
          </w:tcPr>
          <w:p w14:paraId="203C7807" w14:textId="77777777" w:rsidR="00B36BAA" w:rsidRPr="00950156" w:rsidRDefault="00B36BAA" w:rsidP="0089630A">
            <w:pPr>
              <w:rPr>
                <w:rFonts w:ascii="Helvetica" w:eastAsia="Times New Roman" w:hAnsi="Helvetica" w:cs="Arial"/>
                <w:sz w:val="18"/>
                <w:szCs w:val="18"/>
              </w:rPr>
            </w:pPr>
          </w:p>
        </w:tc>
        <w:tc>
          <w:tcPr>
            <w:tcW w:w="1608" w:type="dxa"/>
            <w:shd w:val="clear" w:color="auto" w:fill="auto"/>
            <w:noWrap/>
            <w:vAlign w:val="bottom"/>
          </w:tcPr>
          <w:p w14:paraId="4AD56D73" w14:textId="77777777" w:rsidR="00B36BAA" w:rsidRPr="00950156" w:rsidRDefault="00B36BAA" w:rsidP="0089630A">
            <w:pPr>
              <w:rPr>
                <w:rFonts w:ascii="Helvetica" w:eastAsia="Times New Roman" w:hAnsi="Helvetica" w:cs="Arial"/>
                <w:sz w:val="18"/>
                <w:szCs w:val="18"/>
              </w:rPr>
            </w:pPr>
          </w:p>
        </w:tc>
      </w:tr>
      <w:tr w:rsidR="007121D2" w:rsidRPr="007121D2" w14:paraId="4EF8EB1C" w14:textId="77777777" w:rsidTr="00D8206E">
        <w:trPr>
          <w:cantSplit/>
          <w:trHeight w:val="20"/>
        </w:trPr>
        <w:tc>
          <w:tcPr>
            <w:tcW w:w="1607" w:type="dxa"/>
            <w:shd w:val="clear" w:color="auto" w:fill="auto"/>
            <w:vAlign w:val="center"/>
          </w:tcPr>
          <w:p w14:paraId="17AB4F72" w14:textId="628137F8" w:rsidR="001449A1" w:rsidRPr="007121D2" w:rsidRDefault="00E531D5" w:rsidP="0089630A">
            <w:pPr>
              <w:rPr>
                <w:rFonts w:ascii="Helvetica" w:eastAsia="Times New Roman" w:hAnsi="Helvetica" w:cs="Arial"/>
                <w:sz w:val="18"/>
                <w:szCs w:val="18"/>
              </w:rPr>
            </w:pPr>
            <w:r w:rsidRPr="007121D2">
              <w:rPr>
                <w:rFonts w:ascii="Helvetica" w:eastAsia="Times New Roman" w:hAnsi="Helvetica" w:cs="Arial"/>
                <w:sz w:val="18"/>
                <w:szCs w:val="18"/>
              </w:rPr>
              <w:lastRenderedPageBreak/>
              <w:t>New</w:t>
            </w:r>
          </w:p>
        </w:tc>
        <w:tc>
          <w:tcPr>
            <w:tcW w:w="1607" w:type="dxa"/>
            <w:shd w:val="clear" w:color="auto" w:fill="auto"/>
            <w:noWrap/>
            <w:vAlign w:val="bottom"/>
          </w:tcPr>
          <w:p w14:paraId="22137AEB" w14:textId="77777777" w:rsidR="001449A1" w:rsidRPr="00950156" w:rsidRDefault="001449A1" w:rsidP="0089630A">
            <w:pPr>
              <w:rPr>
                <w:rFonts w:ascii="Helvetica" w:eastAsia="Times New Roman" w:hAnsi="Helvetica" w:cs="Arial"/>
                <w:sz w:val="18"/>
                <w:szCs w:val="18"/>
              </w:rPr>
            </w:pPr>
          </w:p>
        </w:tc>
        <w:tc>
          <w:tcPr>
            <w:tcW w:w="1607" w:type="dxa"/>
            <w:shd w:val="clear" w:color="auto" w:fill="auto"/>
            <w:noWrap/>
            <w:vAlign w:val="bottom"/>
          </w:tcPr>
          <w:p w14:paraId="605F4D2E" w14:textId="77777777" w:rsidR="001449A1" w:rsidRPr="00950156" w:rsidRDefault="001449A1" w:rsidP="0089630A">
            <w:pPr>
              <w:rPr>
                <w:rFonts w:ascii="Helvetica" w:hAnsi="Helvetica" w:cs="Calibri"/>
                <w:sz w:val="18"/>
                <w:szCs w:val="18"/>
              </w:rPr>
            </w:pPr>
          </w:p>
        </w:tc>
        <w:tc>
          <w:tcPr>
            <w:tcW w:w="1607" w:type="dxa"/>
            <w:shd w:val="clear" w:color="auto" w:fill="auto"/>
            <w:noWrap/>
            <w:vAlign w:val="bottom"/>
          </w:tcPr>
          <w:p w14:paraId="4320C650" w14:textId="77777777" w:rsidR="001449A1" w:rsidRPr="00950156" w:rsidRDefault="001449A1" w:rsidP="0089630A">
            <w:pPr>
              <w:rPr>
                <w:rFonts w:ascii="Helvetica" w:hAnsi="Helvetica" w:cs="Calibri"/>
                <w:sz w:val="18"/>
                <w:szCs w:val="18"/>
              </w:rPr>
            </w:pPr>
          </w:p>
        </w:tc>
        <w:tc>
          <w:tcPr>
            <w:tcW w:w="1607" w:type="dxa"/>
            <w:tcBorders>
              <w:bottom w:val="single" w:sz="4" w:space="0" w:color="auto"/>
            </w:tcBorders>
            <w:shd w:val="clear" w:color="auto" w:fill="EAF1DD" w:themeFill="accent3" w:themeFillTint="33"/>
            <w:noWrap/>
            <w:vAlign w:val="bottom"/>
          </w:tcPr>
          <w:p w14:paraId="3FD65CFC" w14:textId="475A68BE" w:rsidR="001449A1" w:rsidRPr="00867FA7" w:rsidRDefault="00884524" w:rsidP="0089630A">
            <w:pPr>
              <w:rPr>
                <w:rFonts w:ascii="Helvetica" w:hAnsi="Helvetica" w:cs="Calibri"/>
                <w:color w:val="0070C0"/>
                <w:sz w:val="18"/>
                <w:szCs w:val="18"/>
                <w:highlight w:val="yellow"/>
              </w:rPr>
            </w:pPr>
            <w:r w:rsidRPr="00867FA7">
              <w:rPr>
                <w:rFonts w:ascii="Helvetica" w:hAnsi="Helvetica" w:cs="Calibri"/>
                <w:color w:val="0070C0"/>
                <w:sz w:val="18"/>
                <w:szCs w:val="18"/>
                <w:highlight w:val="yellow"/>
              </w:rPr>
              <w:t xml:space="preserve">[Indicator] </w:t>
            </w:r>
            <w:r w:rsidR="001449A1" w:rsidRPr="00867FA7">
              <w:rPr>
                <w:rFonts w:ascii="Helvetica" w:hAnsi="Helvetica" w:cs="Calibri"/>
                <w:color w:val="0070C0"/>
                <w:sz w:val="18"/>
                <w:szCs w:val="18"/>
                <w:highlight w:val="yellow"/>
              </w:rPr>
              <w:t>Fraction of total savings (gross kWh and therm)</w:t>
            </w:r>
            <w:r w:rsidR="001449A1" w:rsidRPr="00867FA7">
              <w:rPr>
                <w:rFonts w:ascii="Helvetica" w:hAnsi="Helvetica" w:cs="Calibri"/>
                <w:color w:val="0070C0"/>
                <w:sz w:val="18"/>
                <w:szCs w:val="18"/>
                <w:highlight w:val="yellow"/>
              </w:rPr>
              <w:br/>
              <w:t>derived from</w:t>
            </w:r>
            <w:r w:rsidR="001449A1" w:rsidRPr="00867FA7">
              <w:rPr>
                <w:rFonts w:ascii="Helvetica" w:hAnsi="Helvetica" w:cs="Calibri"/>
                <w:color w:val="0070C0"/>
                <w:sz w:val="18"/>
                <w:szCs w:val="18"/>
                <w:highlight w:val="yellow"/>
              </w:rPr>
              <w:br/>
              <w:t>NMEC analysis</w:t>
            </w:r>
          </w:p>
          <w:p w14:paraId="5B64B46A" w14:textId="77777777" w:rsidR="001449A1" w:rsidRPr="00867FA7" w:rsidRDefault="001449A1" w:rsidP="0089630A">
            <w:pPr>
              <w:rPr>
                <w:rFonts w:ascii="Helvetica" w:hAnsi="Helvetica" w:cs="Calibri"/>
                <w:sz w:val="18"/>
                <w:szCs w:val="18"/>
                <w:highlight w:val="yellow"/>
              </w:rPr>
            </w:pPr>
          </w:p>
        </w:tc>
        <w:tc>
          <w:tcPr>
            <w:tcW w:w="1607" w:type="dxa"/>
            <w:shd w:val="clear" w:color="auto" w:fill="auto"/>
            <w:noWrap/>
            <w:vAlign w:val="bottom"/>
          </w:tcPr>
          <w:p w14:paraId="416A400B" w14:textId="77777777" w:rsidR="001449A1" w:rsidRPr="00950156" w:rsidRDefault="001449A1" w:rsidP="0089630A">
            <w:pPr>
              <w:rPr>
                <w:rFonts w:ascii="Helvetica" w:eastAsia="Times New Roman" w:hAnsi="Helvetica" w:cs="Arial"/>
                <w:sz w:val="18"/>
                <w:szCs w:val="18"/>
              </w:rPr>
            </w:pPr>
          </w:p>
        </w:tc>
        <w:tc>
          <w:tcPr>
            <w:tcW w:w="1607" w:type="dxa"/>
            <w:shd w:val="clear" w:color="auto" w:fill="auto"/>
            <w:vAlign w:val="center"/>
          </w:tcPr>
          <w:p w14:paraId="2427B14D" w14:textId="77777777" w:rsidR="001449A1" w:rsidRPr="00950156" w:rsidRDefault="001449A1" w:rsidP="0089630A">
            <w:pPr>
              <w:rPr>
                <w:rFonts w:ascii="Helvetica" w:eastAsia="Times New Roman" w:hAnsi="Helvetica" w:cs="Arial"/>
                <w:sz w:val="18"/>
                <w:szCs w:val="18"/>
              </w:rPr>
            </w:pPr>
          </w:p>
        </w:tc>
        <w:tc>
          <w:tcPr>
            <w:tcW w:w="1608" w:type="dxa"/>
            <w:shd w:val="clear" w:color="auto" w:fill="auto"/>
            <w:noWrap/>
            <w:vAlign w:val="bottom"/>
          </w:tcPr>
          <w:p w14:paraId="21C99F81" w14:textId="77777777" w:rsidR="001449A1" w:rsidRPr="00950156" w:rsidRDefault="001449A1" w:rsidP="0089630A">
            <w:pPr>
              <w:rPr>
                <w:rFonts w:ascii="Helvetica" w:eastAsia="Times New Roman" w:hAnsi="Helvetica" w:cs="Arial"/>
                <w:sz w:val="18"/>
                <w:szCs w:val="18"/>
              </w:rPr>
            </w:pPr>
          </w:p>
        </w:tc>
      </w:tr>
      <w:tr w:rsidR="007121D2" w:rsidRPr="007121D2" w14:paraId="328A67C7" w14:textId="77777777" w:rsidTr="00D8206E">
        <w:trPr>
          <w:cantSplit/>
          <w:trHeight w:val="20"/>
        </w:trPr>
        <w:tc>
          <w:tcPr>
            <w:tcW w:w="1607" w:type="dxa"/>
            <w:shd w:val="clear" w:color="auto" w:fill="auto"/>
            <w:vAlign w:val="center"/>
          </w:tcPr>
          <w:p w14:paraId="7B7AB1F1" w14:textId="22A595B5" w:rsidR="00F85731" w:rsidRPr="007121D2" w:rsidRDefault="00E531D5" w:rsidP="0089630A">
            <w:pPr>
              <w:rPr>
                <w:rFonts w:ascii="Helvetica" w:eastAsia="Times New Roman" w:hAnsi="Helvetica" w:cs="Arial"/>
                <w:sz w:val="18"/>
                <w:szCs w:val="18"/>
              </w:rPr>
            </w:pPr>
            <w:r w:rsidRPr="007121D2">
              <w:rPr>
                <w:rFonts w:ascii="Helvetica" w:eastAsia="Times New Roman" w:hAnsi="Helvetica" w:cs="Arial"/>
                <w:sz w:val="18"/>
                <w:szCs w:val="18"/>
              </w:rPr>
              <w:t>New</w:t>
            </w:r>
          </w:p>
        </w:tc>
        <w:tc>
          <w:tcPr>
            <w:tcW w:w="1607" w:type="dxa"/>
            <w:shd w:val="clear" w:color="auto" w:fill="auto"/>
            <w:noWrap/>
            <w:vAlign w:val="bottom"/>
          </w:tcPr>
          <w:p w14:paraId="2D096895" w14:textId="77777777" w:rsidR="00F85731" w:rsidRPr="00950156" w:rsidRDefault="00F85731" w:rsidP="0089630A">
            <w:pPr>
              <w:rPr>
                <w:rFonts w:ascii="Helvetica" w:eastAsia="Times New Roman" w:hAnsi="Helvetica" w:cs="Arial"/>
                <w:sz w:val="18"/>
                <w:szCs w:val="18"/>
              </w:rPr>
            </w:pPr>
          </w:p>
        </w:tc>
        <w:tc>
          <w:tcPr>
            <w:tcW w:w="1607" w:type="dxa"/>
            <w:shd w:val="clear" w:color="auto" w:fill="auto"/>
            <w:noWrap/>
            <w:vAlign w:val="bottom"/>
          </w:tcPr>
          <w:p w14:paraId="5CFDE3AF" w14:textId="77777777" w:rsidR="00F85731" w:rsidRPr="00950156" w:rsidRDefault="00F85731" w:rsidP="0089630A">
            <w:pPr>
              <w:rPr>
                <w:rFonts w:ascii="Helvetica" w:hAnsi="Helvetica" w:cs="Calibri"/>
                <w:sz w:val="18"/>
                <w:szCs w:val="18"/>
              </w:rPr>
            </w:pPr>
          </w:p>
        </w:tc>
        <w:tc>
          <w:tcPr>
            <w:tcW w:w="1607" w:type="dxa"/>
            <w:shd w:val="clear" w:color="auto" w:fill="auto"/>
            <w:noWrap/>
            <w:vAlign w:val="bottom"/>
          </w:tcPr>
          <w:p w14:paraId="13149C53" w14:textId="77777777" w:rsidR="00F85731" w:rsidRPr="00950156" w:rsidRDefault="00F85731" w:rsidP="0089630A">
            <w:pPr>
              <w:rPr>
                <w:rFonts w:ascii="Helvetica" w:hAnsi="Helvetica" w:cs="Calibri"/>
                <w:sz w:val="18"/>
                <w:szCs w:val="18"/>
              </w:rPr>
            </w:pPr>
          </w:p>
        </w:tc>
        <w:tc>
          <w:tcPr>
            <w:tcW w:w="1607" w:type="dxa"/>
            <w:shd w:val="clear" w:color="auto" w:fill="EAF1DD" w:themeFill="accent3" w:themeFillTint="33"/>
            <w:noWrap/>
            <w:vAlign w:val="bottom"/>
          </w:tcPr>
          <w:p w14:paraId="205A8C10" w14:textId="0A69F64C" w:rsidR="00F85731" w:rsidRPr="00867FA7" w:rsidRDefault="00F85731" w:rsidP="0089630A">
            <w:pPr>
              <w:rPr>
                <w:rFonts w:ascii="Helvetica" w:hAnsi="Helvetica" w:cs="Calibri"/>
                <w:color w:val="0070C0"/>
                <w:sz w:val="18"/>
                <w:szCs w:val="18"/>
                <w:highlight w:val="yellow"/>
              </w:rPr>
            </w:pPr>
            <w:r w:rsidRPr="00867FA7">
              <w:rPr>
                <w:rFonts w:ascii="Helvetica" w:hAnsi="Helvetica" w:cs="Calibri"/>
                <w:color w:val="0070C0"/>
                <w:sz w:val="18"/>
                <w:szCs w:val="18"/>
                <w:highlight w:val="yellow"/>
              </w:rPr>
              <w:t>[Indicator] Improvement in customer satisfaction</w:t>
            </w:r>
          </w:p>
          <w:p w14:paraId="18BDD746" w14:textId="77777777" w:rsidR="00F85731" w:rsidRPr="00867FA7" w:rsidRDefault="00F85731" w:rsidP="0089630A">
            <w:pPr>
              <w:rPr>
                <w:rFonts w:ascii="Helvetica" w:hAnsi="Helvetica" w:cs="Calibri"/>
                <w:sz w:val="18"/>
                <w:szCs w:val="18"/>
                <w:highlight w:val="yellow"/>
              </w:rPr>
            </w:pPr>
          </w:p>
        </w:tc>
        <w:tc>
          <w:tcPr>
            <w:tcW w:w="1607" w:type="dxa"/>
            <w:shd w:val="clear" w:color="auto" w:fill="auto"/>
            <w:noWrap/>
            <w:vAlign w:val="bottom"/>
          </w:tcPr>
          <w:p w14:paraId="45F857F8" w14:textId="77777777" w:rsidR="00F85731" w:rsidRPr="00950156" w:rsidRDefault="00F85731" w:rsidP="0089630A">
            <w:pPr>
              <w:rPr>
                <w:rFonts w:ascii="Helvetica" w:eastAsia="Times New Roman" w:hAnsi="Helvetica" w:cs="Arial"/>
                <w:sz w:val="18"/>
                <w:szCs w:val="18"/>
              </w:rPr>
            </w:pPr>
          </w:p>
        </w:tc>
        <w:tc>
          <w:tcPr>
            <w:tcW w:w="1607" w:type="dxa"/>
            <w:shd w:val="clear" w:color="auto" w:fill="auto"/>
            <w:vAlign w:val="center"/>
          </w:tcPr>
          <w:p w14:paraId="6353A021" w14:textId="77777777" w:rsidR="00F85731" w:rsidRPr="00950156" w:rsidRDefault="00F85731" w:rsidP="0089630A">
            <w:pPr>
              <w:rPr>
                <w:rFonts w:ascii="Helvetica" w:eastAsia="Times New Roman" w:hAnsi="Helvetica" w:cs="Arial"/>
                <w:sz w:val="18"/>
                <w:szCs w:val="18"/>
              </w:rPr>
            </w:pPr>
          </w:p>
        </w:tc>
        <w:tc>
          <w:tcPr>
            <w:tcW w:w="1608" w:type="dxa"/>
            <w:shd w:val="clear" w:color="auto" w:fill="auto"/>
            <w:noWrap/>
            <w:vAlign w:val="bottom"/>
          </w:tcPr>
          <w:p w14:paraId="1A33066E" w14:textId="77777777" w:rsidR="00F85731" w:rsidRPr="00950156" w:rsidRDefault="00F85731" w:rsidP="0089630A">
            <w:pPr>
              <w:rPr>
                <w:rFonts w:ascii="Helvetica" w:eastAsia="Times New Roman" w:hAnsi="Helvetica" w:cs="Arial"/>
                <w:sz w:val="18"/>
                <w:szCs w:val="18"/>
              </w:rPr>
            </w:pPr>
          </w:p>
        </w:tc>
      </w:tr>
      <w:tr w:rsidR="007121D2" w:rsidRPr="007121D2" w14:paraId="4AC0821E" w14:textId="77777777" w:rsidTr="00D8206E">
        <w:trPr>
          <w:cantSplit/>
          <w:trHeight w:val="20"/>
        </w:trPr>
        <w:tc>
          <w:tcPr>
            <w:tcW w:w="1607" w:type="dxa"/>
            <w:shd w:val="clear" w:color="auto" w:fill="auto"/>
            <w:vAlign w:val="center"/>
          </w:tcPr>
          <w:p w14:paraId="23848919" w14:textId="686A1604" w:rsidR="00F85731" w:rsidRPr="007121D2" w:rsidRDefault="00E531D5" w:rsidP="0089630A">
            <w:pPr>
              <w:rPr>
                <w:rFonts w:ascii="Helvetica" w:eastAsia="Times New Roman" w:hAnsi="Helvetica" w:cs="Arial"/>
                <w:sz w:val="18"/>
                <w:szCs w:val="18"/>
              </w:rPr>
            </w:pPr>
            <w:r w:rsidRPr="007121D2">
              <w:rPr>
                <w:rFonts w:ascii="Helvetica" w:eastAsia="Times New Roman" w:hAnsi="Helvetica" w:cs="Arial"/>
                <w:sz w:val="18"/>
                <w:szCs w:val="18"/>
              </w:rPr>
              <w:t>New</w:t>
            </w:r>
          </w:p>
        </w:tc>
        <w:tc>
          <w:tcPr>
            <w:tcW w:w="1607" w:type="dxa"/>
            <w:shd w:val="clear" w:color="auto" w:fill="auto"/>
            <w:noWrap/>
            <w:vAlign w:val="bottom"/>
          </w:tcPr>
          <w:p w14:paraId="2E8C5B86" w14:textId="77777777" w:rsidR="00F85731" w:rsidRPr="00950156" w:rsidRDefault="00F85731" w:rsidP="0089630A">
            <w:pPr>
              <w:rPr>
                <w:rFonts w:ascii="Helvetica" w:eastAsia="Times New Roman" w:hAnsi="Helvetica" w:cs="Arial"/>
                <w:sz w:val="18"/>
                <w:szCs w:val="18"/>
              </w:rPr>
            </w:pPr>
          </w:p>
        </w:tc>
        <w:tc>
          <w:tcPr>
            <w:tcW w:w="1607" w:type="dxa"/>
            <w:shd w:val="clear" w:color="auto" w:fill="auto"/>
            <w:noWrap/>
            <w:vAlign w:val="bottom"/>
          </w:tcPr>
          <w:p w14:paraId="599FFC8B" w14:textId="77777777" w:rsidR="00F85731" w:rsidRPr="00950156" w:rsidRDefault="00F85731" w:rsidP="0089630A">
            <w:pPr>
              <w:rPr>
                <w:rFonts w:ascii="Helvetica" w:hAnsi="Helvetica" w:cs="Calibri"/>
                <w:sz w:val="18"/>
                <w:szCs w:val="18"/>
              </w:rPr>
            </w:pPr>
          </w:p>
        </w:tc>
        <w:tc>
          <w:tcPr>
            <w:tcW w:w="1607" w:type="dxa"/>
            <w:shd w:val="clear" w:color="auto" w:fill="auto"/>
            <w:noWrap/>
            <w:vAlign w:val="bottom"/>
          </w:tcPr>
          <w:p w14:paraId="69A84AAB" w14:textId="77777777" w:rsidR="00F85731" w:rsidRPr="00950156" w:rsidRDefault="00F85731" w:rsidP="0089630A">
            <w:pPr>
              <w:rPr>
                <w:rFonts w:ascii="Helvetica" w:hAnsi="Helvetica" w:cs="Calibri"/>
                <w:sz w:val="18"/>
                <w:szCs w:val="18"/>
              </w:rPr>
            </w:pPr>
          </w:p>
        </w:tc>
        <w:tc>
          <w:tcPr>
            <w:tcW w:w="1607" w:type="dxa"/>
            <w:shd w:val="clear" w:color="auto" w:fill="EAF1DD" w:themeFill="accent3" w:themeFillTint="33"/>
            <w:noWrap/>
            <w:vAlign w:val="bottom"/>
          </w:tcPr>
          <w:p w14:paraId="612AC5FE" w14:textId="42162199" w:rsidR="00F85731" w:rsidRPr="00867FA7" w:rsidRDefault="00F85731" w:rsidP="0089630A">
            <w:pPr>
              <w:rPr>
                <w:rFonts w:ascii="Helvetica" w:hAnsi="Helvetica" w:cs="Calibri"/>
                <w:color w:val="0070C0"/>
                <w:sz w:val="18"/>
                <w:szCs w:val="18"/>
                <w:highlight w:val="yellow"/>
              </w:rPr>
            </w:pPr>
            <w:r w:rsidRPr="00867FA7">
              <w:rPr>
                <w:rFonts w:ascii="Helvetica" w:hAnsi="Helvetica" w:cs="Calibri"/>
                <w:color w:val="0070C0"/>
                <w:sz w:val="18"/>
                <w:szCs w:val="18"/>
                <w:highlight w:val="yellow"/>
              </w:rPr>
              <w:t>[Indicator] Improvement in trade ally satisfaction</w:t>
            </w:r>
          </w:p>
          <w:p w14:paraId="78456AB8" w14:textId="2523C024" w:rsidR="00F85731" w:rsidRPr="00867FA7" w:rsidRDefault="00F85731" w:rsidP="0089630A">
            <w:pPr>
              <w:rPr>
                <w:rFonts w:ascii="Helvetica" w:hAnsi="Helvetica" w:cs="Calibri"/>
                <w:sz w:val="18"/>
                <w:szCs w:val="18"/>
                <w:highlight w:val="yellow"/>
              </w:rPr>
            </w:pPr>
          </w:p>
        </w:tc>
        <w:tc>
          <w:tcPr>
            <w:tcW w:w="1607" w:type="dxa"/>
            <w:tcBorders>
              <w:bottom w:val="single" w:sz="4" w:space="0" w:color="auto"/>
            </w:tcBorders>
            <w:shd w:val="clear" w:color="auto" w:fill="auto"/>
            <w:noWrap/>
            <w:vAlign w:val="bottom"/>
          </w:tcPr>
          <w:p w14:paraId="1A1C0491" w14:textId="77777777" w:rsidR="00F85731" w:rsidRPr="00950156" w:rsidRDefault="00F85731" w:rsidP="0089630A">
            <w:pPr>
              <w:rPr>
                <w:rFonts w:ascii="Helvetica" w:eastAsia="Times New Roman" w:hAnsi="Helvetica" w:cs="Arial"/>
                <w:sz w:val="18"/>
                <w:szCs w:val="18"/>
              </w:rPr>
            </w:pPr>
          </w:p>
        </w:tc>
        <w:tc>
          <w:tcPr>
            <w:tcW w:w="1607" w:type="dxa"/>
            <w:shd w:val="clear" w:color="auto" w:fill="auto"/>
            <w:vAlign w:val="center"/>
          </w:tcPr>
          <w:p w14:paraId="3FE7DB8F" w14:textId="77777777" w:rsidR="00F85731" w:rsidRPr="00950156" w:rsidRDefault="00F85731" w:rsidP="0089630A">
            <w:pPr>
              <w:rPr>
                <w:rFonts w:ascii="Helvetica" w:eastAsia="Times New Roman" w:hAnsi="Helvetica" w:cs="Arial"/>
                <w:sz w:val="18"/>
                <w:szCs w:val="18"/>
              </w:rPr>
            </w:pPr>
          </w:p>
        </w:tc>
        <w:tc>
          <w:tcPr>
            <w:tcW w:w="1608" w:type="dxa"/>
            <w:shd w:val="clear" w:color="auto" w:fill="auto"/>
            <w:noWrap/>
            <w:vAlign w:val="bottom"/>
          </w:tcPr>
          <w:p w14:paraId="3CDECF39" w14:textId="77777777" w:rsidR="00F85731" w:rsidRPr="00950156" w:rsidRDefault="00F85731" w:rsidP="0089630A">
            <w:pPr>
              <w:rPr>
                <w:rFonts w:ascii="Helvetica" w:eastAsia="Times New Roman" w:hAnsi="Helvetica" w:cs="Arial"/>
                <w:sz w:val="18"/>
                <w:szCs w:val="18"/>
              </w:rPr>
            </w:pPr>
          </w:p>
        </w:tc>
      </w:tr>
      <w:tr w:rsidR="007121D2" w:rsidRPr="007121D2" w14:paraId="1975C3B0" w14:textId="77777777" w:rsidTr="00D8206E">
        <w:trPr>
          <w:cantSplit/>
          <w:trHeight w:val="20"/>
        </w:trPr>
        <w:tc>
          <w:tcPr>
            <w:tcW w:w="1607" w:type="dxa"/>
            <w:shd w:val="clear" w:color="auto" w:fill="auto"/>
            <w:vAlign w:val="center"/>
          </w:tcPr>
          <w:p w14:paraId="29B24580" w14:textId="6B6F6681" w:rsidR="00B42060" w:rsidRPr="007121D2" w:rsidRDefault="00627F6C" w:rsidP="0089630A">
            <w:pPr>
              <w:rPr>
                <w:rFonts w:ascii="Helvetica" w:eastAsia="Times New Roman" w:hAnsi="Helvetica" w:cs="Arial"/>
                <w:sz w:val="18"/>
                <w:szCs w:val="18"/>
              </w:rPr>
            </w:pPr>
            <w:r w:rsidRPr="007121D2">
              <w:rPr>
                <w:rFonts w:ascii="Helvetica" w:eastAsia="Times New Roman" w:hAnsi="Helvetica" w:cs="Arial"/>
                <w:sz w:val="18"/>
                <w:szCs w:val="18"/>
              </w:rPr>
              <w:t>New</w:t>
            </w:r>
          </w:p>
        </w:tc>
        <w:tc>
          <w:tcPr>
            <w:tcW w:w="1607" w:type="dxa"/>
            <w:shd w:val="clear" w:color="auto" w:fill="auto"/>
            <w:noWrap/>
            <w:vAlign w:val="bottom"/>
          </w:tcPr>
          <w:p w14:paraId="3720FC91" w14:textId="77777777" w:rsidR="00B42060" w:rsidRPr="00950156" w:rsidRDefault="00B42060" w:rsidP="0089630A">
            <w:pPr>
              <w:rPr>
                <w:rFonts w:ascii="Helvetica" w:eastAsia="Times New Roman" w:hAnsi="Helvetica" w:cs="Arial"/>
                <w:sz w:val="18"/>
                <w:szCs w:val="18"/>
              </w:rPr>
            </w:pPr>
          </w:p>
        </w:tc>
        <w:tc>
          <w:tcPr>
            <w:tcW w:w="1607" w:type="dxa"/>
            <w:shd w:val="clear" w:color="auto" w:fill="auto"/>
            <w:noWrap/>
            <w:vAlign w:val="bottom"/>
          </w:tcPr>
          <w:p w14:paraId="078621F1" w14:textId="77777777" w:rsidR="00B42060" w:rsidRPr="00950156" w:rsidRDefault="00B42060" w:rsidP="0089630A">
            <w:pPr>
              <w:rPr>
                <w:rFonts w:ascii="Helvetica" w:hAnsi="Helvetica" w:cs="Calibri"/>
                <w:sz w:val="18"/>
                <w:szCs w:val="18"/>
              </w:rPr>
            </w:pPr>
          </w:p>
        </w:tc>
        <w:tc>
          <w:tcPr>
            <w:tcW w:w="1607" w:type="dxa"/>
            <w:shd w:val="clear" w:color="auto" w:fill="auto"/>
            <w:noWrap/>
            <w:vAlign w:val="bottom"/>
          </w:tcPr>
          <w:p w14:paraId="3FD0D72B" w14:textId="77777777" w:rsidR="00B42060" w:rsidRPr="00950156" w:rsidRDefault="00B42060" w:rsidP="0089630A">
            <w:pPr>
              <w:rPr>
                <w:rFonts w:ascii="Helvetica" w:hAnsi="Helvetica" w:cs="Calibri"/>
                <w:sz w:val="18"/>
                <w:szCs w:val="18"/>
              </w:rPr>
            </w:pPr>
          </w:p>
        </w:tc>
        <w:tc>
          <w:tcPr>
            <w:tcW w:w="1607" w:type="dxa"/>
            <w:shd w:val="clear" w:color="auto" w:fill="auto"/>
            <w:noWrap/>
            <w:vAlign w:val="bottom"/>
          </w:tcPr>
          <w:p w14:paraId="49DB6470" w14:textId="77777777" w:rsidR="00B42060" w:rsidRPr="00950156" w:rsidRDefault="00B42060" w:rsidP="0089630A">
            <w:pPr>
              <w:rPr>
                <w:rFonts w:ascii="Helvetica" w:hAnsi="Helvetica" w:cs="Calibri"/>
                <w:sz w:val="18"/>
                <w:szCs w:val="18"/>
              </w:rPr>
            </w:pPr>
          </w:p>
        </w:tc>
        <w:tc>
          <w:tcPr>
            <w:tcW w:w="1607" w:type="dxa"/>
            <w:shd w:val="clear" w:color="auto" w:fill="EAF1DD" w:themeFill="accent3" w:themeFillTint="33"/>
            <w:noWrap/>
            <w:vAlign w:val="bottom"/>
          </w:tcPr>
          <w:p w14:paraId="252CA199" w14:textId="681B3B69" w:rsidR="00B42060" w:rsidRPr="00385620" w:rsidRDefault="00E70569" w:rsidP="0089630A">
            <w:pPr>
              <w:rPr>
                <w:rFonts w:ascii="Helvetica" w:hAnsi="Helvetica" w:cs="Calibri"/>
                <w:color w:val="0070C0"/>
                <w:sz w:val="18"/>
                <w:szCs w:val="18"/>
              </w:rPr>
            </w:pPr>
            <w:r w:rsidRPr="00867FA7">
              <w:rPr>
                <w:rFonts w:ascii="Helvetica" w:hAnsi="Helvetica" w:cs="Calibri"/>
                <w:color w:val="0070C0"/>
                <w:sz w:val="18"/>
                <w:szCs w:val="18"/>
                <w:highlight w:val="yellow"/>
              </w:rPr>
              <w:t xml:space="preserve">[Indicator] </w:t>
            </w:r>
            <w:r w:rsidR="00B42060" w:rsidRPr="00867FA7">
              <w:rPr>
                <w:rFonts w:ascii="Helvetica" w:hAnsi="Helvetica" w:cs="Calibri"/>
                <w:color w:val="0070C0"/>
                <w:sz w:val="18"/>
                <w:szCs w:val="18"/>
                <w:highlight w:val="yellow"/>
              </w:rPr>
              <w:t>Average annual energy savings (kWh, kW therms) per annual flow through project water/wastewater facilities</w:t>
            </w:r>
          </w:p>
          <w:p w14:paraId="00A8F209" w14:textId="77777777" w:rsidR="00B42060" w:rsidRPr="00385620" w:rsidRDefault="00B42060" w:rsidP="0089630A">
            <w:pPr>
              <w:rPr>
                <w:rFonts w:ascii="Helvetica" w:eastAsia="Times New Roman" w:hAnsi="Helvetica" w:cs="Arial"/>
                <w:color w:val="0070C0"/>
                <w:sz w:val="18"/>
                <w:szCs w:val="18"/>
              </w:rPr>
            </w:pPr>
          </w:p>
        </w:tc>
        <w:tc>
          <w:tcPr>
            <w:tcW w:w="1607" w:type="dxa"/>
            <w:shd w:val="clear" w:color="auto" w:fill="auto"/>
            <w:vAlign w:val="center"/>
          </w:tcPr>
          <w:p w14:paraId="6C59F279" w14:textId="77777777" w:rsidR="00B42060" w:rsidRPr="00950156" w:rsidRDefault="00B42060" w:rsidP="0089630A">
            <w:pPr>
              <w:rPr>
                <w:rFonts w:ascii="Helvetica" w:eastAsia="Times New Roman" w:hAnsi="Helvetica" w:cs="Arial"/>
                <w:sz w:val="18"/>
                <w:szCs w:val="18"/>
              </w:rPr>
            </w:pPr>
          </w:p>
        </w:tc>
        <w:tc>
          <w:tcPr>
            <w:tcW w:w="1608" w:type="dxa"/>
            <w:shd w:val="clear" w:color="auto" w:fill="auto"/>
            <w:noWrap/>
            <w:vAlign w:val="bottom"/>
          </w:tcPr>
          <w:p w14:paraId="51B7F66E" w14:textId="77777777" w:rsidR="00B42060" w:rsidRPr="00950156" w:rsidRDefault="00B42060" w:rsidP="0089630A">
            <w:pPr>
              <w:rPr>
                <w:rFonts w:ascii="Helvetica" w:eastAsia="Times New Roman" w:hAnsi="Helvetica" w:cs="Arial"/>
                <w:sz w:val="18"/>
                <w:szCs w:val="18"/>
              </w:rPr>
            </w:pPr>
          </w:p>
        </w:tc>
      </w:tr>
      <w:tr w:rsidR="007121D2" w:rsidRPr="007121D2" w14:paraId="0CDEC91C" w14:textId="77777777" w:rsidTr="00D8206E">
        <w:trPr>
          <w:cantSplit/>
          <w:trHeight w:val="20"/>
        </w:trPr>
        <w:tc>
          <w:tcPr>
            <w:tcW w:w="1607" w:type="dxa"/>
            <w:shd w:val="clear" w:color="auto" w:fill="auto"/>
            <w:vAlign w:val="center"/>
          </w:tcPr>
          <w:p w14:paraId="3FA4F738" w14:textId="1FA57C99" w:rsidR="00B07CDB" w:rsidRPr="007121D2" w:rsidRDefault="0089630A" w:rsidP="0089630A">
            <w:pPr>
              <w:rPr>
                <w:rFonts w:ascii="Helvetica" w:eastAsia="Times New Roman" w:hAnsi="Helvetica" w:cs="Arial"/>
                <w:sz w:val="18"/>
                <w:szCs w:val="18"/>
              </w:rPr>
            </w:pPr>
            <w:r w:rsidRPr="007121D2">
              <w:rPr>
                <w:rFonts w:ascii="Helvetica" w:eastAsia="Times New Roman" w:hAnsi="Helvetica" w:cs="Arial"/>
                <w:sz w:val="18"/>
                <w:szCs w:val="18"/>
              </w:rPr>
              <w:lastRenderedPageBreak/>
              <w:t>New</w:t>
            </w:r>
          </w:p>
        </w:tc>
        <w:tc>
          <w:tcPr>
            <w:tcW w:w="1607" w:type="dxa"/>
            <w:shd w:val="clear" w:color="auto" w:fill="auto"/>
            <w:noWrap/>
            <w:vAlign w:val="bottom"/>
          </w:tcPr>
          <w:p w14:paraId="36ACF37D" w14:textId="77777777" w:rsidR="00B07CDB" w:rsidRPr="00950156" w:rsidRDefault="00B07CDB" w:rsidP="0089630A">
            <w:pPr>
              <w:rPr>
                <w:rFonts w:ascii="Helvetica" w:eastAsia="Times New Roman" w:hAnsi="Helvetica" w:cs="Arial"/>
                <w:sz w:val="18"/>
                <w:szCs w:val="18"/>
              </w:rPr>
            </w:pPr>
          </w:p>
        </w:tc>
        <w:tc>
          <w:tcPr>
            <w:tcW w:w="1607" w:type="dxa"/>
            <w:shd w:val="clear" w:color="auto" w:fill="auto"/>
            <w:noWrap/>
            <w:vAlign w:val="bottom"/>
          </w:tcPr>
          <w:p w14:paraId="2405DB94" w14:textId="77777777" w:rsidR="00B07CDB" w:rsidRPr="00950156" w:rsidRDefault="00B07CDB" w:rsidP="0089630A">
            <w:pPr>
              <w:rPr>
                <w:rFonts w:ascii="Helvetica" w:hAnsi="Helvetica" w:cs="Calibri"/>
                <w:sz w:val="18"/>
                <w:szCs w:val="18"/>
              </w:rPr>
            </w:pPr>
          </w:p>
        </w:tc>
        <w:tc>
          <w:tcPr>
            <w:tcW w:w="1607" w:type="dxa"/>
            <w:shd w:val="clear" w:color="auto" w:fill="auto"/>
            <w:noWrap/>
            <w:vAlign w:val="bottom"/>
          </w:tcPr>
          <w:p w14:paraId="0FC57617" w14:textId="77777777" w:rsidR="00B07CDB" w:rsidRPr="00950156" w:rsidRDefault="00B07CDB" w:rsidP="0089630A">
            <w:pPr>
              <w:rPr>
                <w:rFonts w:ascii="Helvetica" w:hAnsi="Helvetica" w:cs="Calibri"/>
                <w:sz w:val="18"/>
                <w:szCs w:val="18"/>
              </w:rPr>
            </w:pPr>
          </w:p>
        </w:tc>
        <w:tc>
          <w:tcPr>
            <w:tcW w:w="1607" w:type="dxa"/>
            <w:shd w:val="clear" w:color="auto" w:fill="auto"/>
            <w:noWrap/>
            <w:vAlign w:val="bottom"/>
          </w:tcPr>
          <w:p w14:paraId="2550021C" w14:textId="77777777" w:rsidR="00B07CDB" w:rsidRPr="00950156" w:rsidRDefault="00B07CDB" w:rsidP="0089630A">
            <w:pPr>
              <w:rPr>
                <w:rFonts w:ascii="Helvetica" w:hAnsi="Helvetica" w:cs="Calibri"/>
                <w:sz w:val="18"/>
                <w:szCs w:val="18"/>
              </w:rPr>
            </w:pPr>
          </w:p>
        </w:tc>
        <w:tc>
          <w:tcPr>
            <w:tcW w:w="1607" w:type="dxa"/>
            <w:shd w:val="clear" w:color="auto" w:fill="EAF1DD" w:themeFill="accent3" w:themeFillTint="33"/>
            <w:noWrap/>
            <w:vAlign w:val="bottom"/>
          </w:tcPr>
          <w:p w14:paraId="7ACE1038" w14:textId="1D0F3467" w:rsidR="00B07CDB" w:rsidRPr="00385620" w:rsidRDefault="00466349" w:rsidP="0089630A">
            <w:pPr>
              <w:rPr>
                <w:rFonts w:ascii="Helvetica" w:hAnsi="Helvetica" w:cs="Calibri"/>
                <w:color w:val="0070C0"/>
                <w:sz w:val="18"/>
                <w:szCs w:val="18"/>
              </w:rPr>
            </w:pPr>
            <w:r w:rsidRPr="00867FA7">
              <w:rPr>
                <w:rFonts w:ascii="Helvetica" w:hAnsi="Helvetica" w:cs="Calibri"/>
                <w:color w:val="0070C0"/>
                <w:sz w:val="18"/>
                <w:szCs w:val="18"/>
                <w:highlight w:val="yellow"/>
              </w:rPr>
              <w:t xml:space="preserve">[Indicator] </w:t>
            </w:r>
            <w:r w:rsidR="00B07CDB" w:rsidRPr="00867FA7">
              <w:rPr>
                <w:rFonts w:ascii="Helvetica" w:hAnsi="Helvetica" w:cs="Calibri"/>
                <w:color w:val="0070C0"/>
                <w:sz w:val="18"/>
                <w:szCs w:val="18"/>
                <w:highlight w:val="yellow"/>
              </w:rPr>
              <w:t>Percent of Public Sector water/wastewater flow (i.e.,</w:t>
            </w:r>
            <w:r w:rsidR="00B07CDB" w:rsidRPr="00867FA7">
              <w:rPr>
                <w:rFonts w:ascii="Helvetica" w:hAnsi="Helvetica" w:cs="Calibri"/>
                <w:color w:val="0070C0"/>
                <w:sz w:val="18"/>
                <w:szCs w:val="18"/>
                <w:highlight w:val="yellow"/>
              </w:rPr>
              <w:br/>
              <w:t>annual average Million Gallons per Day) enrolled in</w:t>
            </w:r>
            <w:r w:rsidR="00B07CDB" w:rsidRPr="00867FA7">
              <w:rPr>
                <w:rFonts w:ascii="Helvetica" w:hAnsi="Helvetica" w:cs="Calibri"/>
                <w:color w:val="0070C0"/>
                <w:sz w:val="18"/>
                <w:szCs w:val="18"/>
                <w:highlight w:val="yellow"/>
              </w:rPr>
              <w:br/>
              <w:t>non‐building water/wastewater programs—</w:t>
            </w:r>
            <w:r w:rsidR="00B07CDB" w:rsidRPr="00867FA7">
              <w:rPr>
                <w:rFonts w:ascii="Helvetica" w:hAnsi="Helvetica" w:cs="Calibri"/>
                <w:color w:val="0070C0"/>
                <w:sz w:val="18"/>
                <w:szCs w:val="18"/>
                <w:highlight w:val="yellow"/>
              </w:rPr>
              <w:br/>
              <w:t>estimate within +/‐20% of flow through eligible</w:t>
            </w:r>
            <w:r w:rsidR="00B07CDB" w:rsidRPr="00867FA7">
              <w:rPr>
                <w:rFonts w:ascii="Helvetica" w:hAnsi="Helvetica" w:cs="Calibri"/>
                <w:color w:val="0070C0"/>
                <w:sz w:val="18"/>
                <w:szCs w:val="18"/>
                <w:highlight w:val="yellow"/>
              </w:rPr>
              <w:br/>
              <w:t>facilities (treatment facilities pumping stations),</w:t>
            </w:r>
            <w:r w:rsidR="00B07CDB" w:rsidRPr="00867FA7">
              <w:rPr>
                <w:rFonts w:ascii="Helvetica" w:hAnsi="Helvetica" w:cs="Calibri"/>
                <w:color w:val="0070C0"/>
                <w:sz w:val="18"/>
                <w:szCs w:val="18"/>
                <w:highlight w:val="yellow"/>
              </w:rPr>
              <w:br/>
              <w:t>+/‐10% of flow through project facilities</w:t>
            </w:r>
          </w:p>
          <w:p w14:paraId="096DB707" w14:textId="77777777" w:rsidR="00B07CDB" w:rsidRPr="00385620" w:rsidRDefault="00B07CDB" w:rsidP="0089630A">
            <w:pPr>
              <w:rPr>
                <w:rFonts w:ascii="Helvetica" w:hAnsi="Helvetica" w:cs="Calibri"/>
                <w:color w:val="0070C0"/>
                <w:sz w:val="18"/>
                <w:szCs w:val="18"/>
              </w:rPr>
            </w:pPr>
          </w:p>
        </w:tc>
        <w:tc>
          <w:tcPr>
            <w:tcW w:w="1607" w:type="dxa"/>
            <w:tcBorders>
              <w:bottom w:val="single" w:sz="4" w:space="0" w:color="auto"/>
            </w:tcBorders>
            <w:shd w:val="clear" w:color="auto" w:fill="auto"/>
            <w:vAlign w:val="center"/>
          </w:tcPr>
          <w:p w14:paraId="51134CA0" w14:textId="77777777" w:rsidR="00B07CDB" w:rsidRPr="00950156" w:rsidRDefault="00B07CDB" w:rsidP="0089630A">
            <w:pPr>
              <w:rPr>
                <w:rFonts w:ascii="Helvetica" w:eastAsia="Times New Roman" w:hAnsi="Helvetica" w:cs="Arial"/>
                <w:sz w:val="18"/>
                <w:szCs w:val="18"/>
              </w:rPr>
            </w:pPr>
          </w:p>
        </w:tc>
        <w:tc>
          <w:tcPr>
            <w:tcW w:w="1608" w:type="dxa"/>
            <w:shd w:val="clear" w:color="auto" w:fill="auto"/>
            <w:noWrap/>
            <w:vAlign w:val="bottom"/>
          </w:tcPr>
          <w:p w14:paraId="6C6F8218" w14:textId="77777777" w:rsidR="00B07CDB" w:rsidRPr="00950156" w:rsidRDefault="00B07CDB" w:rsidP="0089630A">
            <w:pPr>
              <w:rPr>
                <w:rFonts w:ascii="Helvetica" w:eastAsia="Times New Roman" w:hAnsi="Helvetica" w:cs="Arial"/>
                <w:sz w:val="18"/>
                <w:szCs w:val="18"/>
              </w:rPr>
            </w:pPr>
          </w:p>
        </w:tc>
      </w:tr>
      <w:tr w:rsidR="007121D2" w:rsidRPr="007121D2" w14:paraId="31D56D12" w14:textId="77777777" w:rsidTr="00D8206E">
        <w:trPr>
          <w:cantSplit/>
          <w:trHeight w:val="20"/>
        </w:trPr>
        <w:tc>
          <w:tcPr>
            <w:tcW w:w="1607" w:type="dxa"/>
            <w:shd w:val="clear" w:color="auto" w:fill="auto"/>
            <w:vAlign w:val="center"/>
          </w:tcPr>
          <w:p w14:paraId="192D3A8C" w14:textId="4D240A4E" w:rsidR="00124149" w:rsidRPr="007121D2" w:rsidRDefault="0089630A" w:rsidP="0089630A">
            <w:pPr>
              <w:rPr>
                <w:rFonts w:ascii="Helvetica" w:eastAsia="Times New Roman" w:hAnsi="Helvetica" w:cs="Arial"/>
                <w:sz w:val="18"/>
                <w:szCs w:val="18"/>
              </w:rPr>
            </w:pPr>
            <w:r w:rsidRPr="007121D2">
              <w:rPr>
                <w:rFonts w:ascii="Helvetica" w:eastAsia="Times New Roman" w:hAnsi="Helvetica" w:cs="Arial"/>
                <w:sz w:val="18"/>
                <w:szCs w:val="18"/>
              </w:rPr>
              <w:t>New</w:t>
            </w:r>
          </w:p>
        </w:tc>
        <w:tc>
          <w:tcPr>
            <w:tcW w:w="1607" w:type="dxa"/>
            <w:shd w:val="clear" w:color="auto" w:fill="auto"/>
            <w:noWrap/>
            <w:vAlign w:val="bottom"/>
          </w:tcPr>
          <w:p w14:paraId="772BD709" w14:textId="77777777" w:rsidR="00124149" w:rsidRPr="00950156" w:rsidRDefault="00124149" w:rsidP="0089630A">
            <w:pPr>
              <w:rPr>
                <w:rFonts w:ascii="Helvetica" w:eastAsia="Times New Roman" w:hAnsi="Helvetica" w:cs="Arial"/>
                <w:sz w:val="18"/>
                <w:szCs w:val="18"/>
              </w:rPr>
            </w:pPr>
          </w:p>
        </w:tc>
        <w:tc>
          <w:tcPr>
            <w:tcW w:w="1607" w:type="dxa"/>
            <w:shd w:val="clear" w:color="auto" w:fill="auto"/>
            <w:noWrap/>
            <w:vAlign w:val="bottom"/>
          </w:tcPr>
          <w:p w14:paraId="67E56DBA" w14:textId="77777777" w:rsidR="00124149" w:rsidRPr="00950156" w:rsidRDefault="00124149" w:rsidP="0089630A">
            <w:pPr>
              <w:rPr>
                <w:rFonts w:ascii="Helvetica" w:hAnsi="Helvetica" w:cs="Calibri"/>
                <w:sz w:val="18"/>
                <w:szCs w:val="18"/>
              </w:rPr>
            </w:pPr>
          </w:p>
        </w:tc>
        <w:tc>
          <w:tcPr>
            <w:tcW w:w="1607" w:type="dxa"/>
            <w:shd w:val="clear" w:color="auto" w:fill="auto"/>
            <w:noWrap/>
            <w:vAlign w:val="bottom"/>
          </w:tcPr>
          <w:p w14:paraId="67AF6357" w14:textId="77777777" w:rsidR="00124149" w:rsidRPr="00950156" w:rsidRDefault="00124149" w:rsidP="0089630A">
            <w:pPr>
              <w:rPr>
                <w:rFonts w:ascii="Helvetica" w:hAnsi="Helvetica" w:cs="Calibri"/>
                <w:sz w:val="18"/>
                <w:szCs w:val="18"/>
              </w:rPr>
            </w:pPr>
          </w:p>
        </w:tc>
        <w:tc>
          <w:tcPr>
            <w:tcW w:w="1607" w:type="dxa"/>
            <w:shd w:val="clear" w:color="auto" w:fill="auto"/>
            <w:noWrap/>
            <w:vAlign w:val="bottom"/>
          </w:tcPr>
          <w:p w14:paraId="4E82FA97" w14:textId="77777777" w:rsidR="00124149" w:rsidRPr="00950156" w:rsidRDefault="00124149" w:rsidP="0089630A">
            <w:pPr>
              <w:rPr>
                <w:rFonts w:ascii="Helvetica" w:hAnsi="Helvetica" w:cs="Calibri"/>
                <w:sz w:val="18"/>
                <w:szCs w:val="18"/>
              </w:rPr>
            </w:pPr>
          </w:p>
        </w:tc>
        <w:tc>
          <w:tcPr>
            <w:tcW w:w="1607" w:type="dxa"/>
            <w:shd w:val="clear" w:color="auto" w:fill="auto"/>
            <w:noWrap/>
            <w:vAlign w:val="bottom"/>
          </w:tcPr>
          <w:p w14:paraId="11D4419C" w14:textId="77777777" w:rsidR="00124149" w:rsidRPr="00950156" w:rsidRDefault="00124149" w:rsidP="0089630A">
            <w:pPr>
              <w:rPr>
                <w:rFonts w:ascii="Helvetica" w:hAnsi="Helvetica" w:cs="Calibri"/>
                <w:sz w:val="18"/>
                <w:szCs w:val="18"/>
              </w:rPr>
            </w:pPr>
          </w:p>
        </w:tc>
        <w:tc>
          <w:tcPr>
            <w:tcW w:w="1607" w:type="dxa"/>
            <w:shd w:val="clear" w:color="auto" w:fill="EAF1DD" w:themeFill="accent3" w:themeFillTint="33"/>
            <w:vAlign w:val="center"/>
          </w:tcPr>
          <w:p w14:paraId="4955D2DC" w14:textId="77777777" w:rsidR="00124149" w:rsidRPr="00950156" w:rsidRDefault="00124149" w:rsidP="0089630A">
            <w:pPr>
              <w:rPr>
                <w:rFonts w:ascii="Helvetica" w:hAnsi="Helvetica" w:cs="Calibri"/>
                <w:sz w:val="18"/>
                <w:szCs w:val="18"/>
              </w:rPr>
            </w:pPr>
            <w:r w:rsidRPr="00867FA7">
              <w:rPr>
                <w:rFonts w:ascii="Helvetica" w:hAnsi="Helvetica" w:cs="Calibri"/>
                <w:sz w:val="18"/>
                <w:szCs w:val="18"/>
                <w:highlight w:val="yellow"/>
              </w:rPr>
              <w:t>Reduction in consumption (proposed by SCE and SDG&amp;E)</w:t>
            </w:r>
          </w:p>
          <w:p w14:paraId="16E5AD7B" w14:textId="77777777" w:rsidR="00124149" w:rsidRPr="00950156" w:rsidRDefault="00124149" w:rsidP="0089630A">
            <w:pPr>
              <w:rPr>
                <w:rFonts w:ascii="Helvetica" w:eastAsia="Times New Roman" w:hAnsi="Helvetica" w:cs="Arial"/>
                <w:sz w:val="18"/>
                <w:szCs w:val="18"/>
              </w:rPr>
            </w:pPr>
          </w:p>
        </w:tc>
        <w:tc>
          <w:tcPr>
            <w:tcW w:w="1608" w:type="dxa"/>
            <w:shd w:val="clear" w:color="auto" w:fill="auto"/>
            <w:noWrap/>
            <w:vAlign w:val="bottom"/>
          </w:tcPr>
          <w:p w14:paraId="043CF6D1" w14:textId="77777777" w:rsidR="00124149" w:rsidRPr="00950156" w:rsidRDefault="00124149" w:rsidP="0089630A">
            <w:pPr>
              <w:rPr>
                <w:rFonts w:ascii="Helvetica" w:eastAsia="Times New Roman" w:hAnsi="Helvetica" w:cs="Arial"/>
                <w:sz w:val="18"/>
                <w:szCs w:val="18"/>
              </w:rPr>
            </w:pPr>
          </w:p>
        </w:tc>
      </w:tr>
    </w:tbl>
    <w:p w14:paraId="2E4C2D85" w14:textId="7D9FD397" w:rsidR="006316EC" w:rsidRPr="007121D2" w:rsidRDefault="006316EC" w:rsidP="0089630A">
      <w:pPr>
        <w:rPr>
          <w:rFonts w:ascii="Helvetica" w:hAnsi="Helvetica"/>
          <w:sz w:val="18"/>
          <w:szCs w:val="18"/>
        </w:rPr>
      </w:pPr>
    </w:p>
    <w:p w14:paraId="7273D77E" w14:textId="395CAD55" w:rsidR="006316EC" w:rsidRPr="00BE1AD1" w:rsidRDefault="006316EC" w:rsidP="007A05AD">
      <w:pPr>
        <w:outlineLvl w:val="0"/>
        <w:rPr>
          <w:rFonts w:ascii="Helvetica" w:hAnsi="Helvetica"/>
          <w:b/>
          <w:sz w:val="18"/>
          <w:szCs w:val="18"/>
        </w:rPr>
      </w:pPr>
      <w:r w:rsidRPr="00BE1AD1">
        <w:rPr>
          <w:rFonts w:ascii="Helvetica" w:hAnsi="Helvetica"/>
          <w:sz w:val="18"/>
          <w:szCs w:val="18"/>
        </w:rPr>
        <w:br w:type="page"/>
      </w:r>
      <w:r w:rsidRPr="00BE1AD1">
        <w:rPr>
          <w:rFonts w:ascii="Helvetica" w:hAnsi="Helvetica"/>
          <w:b/>
          <w:sz w:val="18"/>
          <w:szCs w:val="18"/>
        </w:rPr>
        <w:lastRenderedPageBreak/>
        <w:t>Workforce Education and Training</w:t>
      </w:r>
    </w:p>
    <w:tbl>
      <w:tblPr>
        <w:tblW w:w="5000" w:type="pct"/>
        <w:tblCellMar>
          <w:left w:w="0" w:type="dxa"/>
          <w:right w:w="0" w:type="dxa"/>
        </w:tblCellMar>
        <w:tblLook w:val="01E0" w:firstRow="1" w:lastRow="1" w:firstColumn="1" w:lastColumn="1" w:noHBand="0" w:noVBand="0"/>
      </w:tblPr>
      <w:tblGrid>
        <w:gridCol w:w="3139"/>
        <w:gridCol w:w="9809"/>
      </w:tblGrid>
      <w:tr w:rsidR="00905EE8" w:rsidRPr="00826B04" w14:paraId="48151983" w14:textId="77777777" w:rsidTr="009B2638">
        <w:trPr>
          <w:trHeight w:val="20"/>
          <w:tblHeader/>
        </w:trPr>
        <w:tc>
          <w:tcPr>
            <w:tcW w:w="1212" w:type="pct"/>
            <w:tcBorders>
              <w:top w:val="single" w:sz="4" w:space="0" w:color="auto"/>
              <w:left w:val="single" w:sz="5" w:space="0" w:color="000000"/>
              <w:right w:val="single" w:sz="5" w:space="0" w:color="000000"/>
            </w:tcBorders>
            <w:shd w:val="clear" w:color="auto" w:fill="DBE4F0"/>
          </w:tcPr>
          <w:p w14:paraId="5FA6E2A9" w14:textId="77777777" w:rsidR="00905EE8" w:rsidRPr="00826B04" w:rsidRDefault="00905EE8" w:rsidP="00826B04">
            <w:pPr>
              <w:pStyle w:val="BodyText"/>
              <w:spacing w:before="6"/>
              <w:rPr>
                <w:rFonts w:ascii="Helvetica" w:hAnsi="Helvetica"/>
                <w:b/>
                <w:sz w:val="18"/>
                <w:szCs w:val="18"/>
              </w:rPr>
            </w:pPr>
            <w:r w:rsidRPr="00826B04">
              <w:rPr>
                <w:rFonts w:ascii="Helvetica" w:hAnsi="Helvetica"/>
                <w:b/>
                <w:sz w:val="18"/>
                <w:szCs w:val="18"/>
              </w:rPr>
              <w:t>Common Problem</w:t>
            </w:r>
          </w:p>
        </w:tc>
        <w:tc>
          <w:tcPr>
            <w:tcW w:w="3788" w:type="pct"/>
            <w:tcBorders>
              <w:top w:val="single" w:sz="5" w:space="0" w:color="000000"/>
              <w:left w:val="single" w:sz="5" w:space="0" w:color="000000"/>
              <w:bottom w:val="single" w:sz="6" w:space="0" w:color="000000"/>
              <w:right w:val="single" w:sz="5" w:space="0" w:color="000000"/>
            </w:tcBorders>
          </w:tcPr>
          <w:p w14:paraId="20526249" w14:textId="77777777" w:rsidR="00905EE8" w:rsidRPr="00826B04" w:rsidRDefault="00905EE8" w:rsidP="00826B04">
            <w:pPr>
              <w:pStyle w:val="BodyText"/>
              <w:spacing w:before="6"/>
              <w:rPr>
                <w:rFonts w:ascii="Helvetica" w:hAnsi="Helvetica"/>
                <w:b/>
                <w:sz w:val="18"/>
                <w:szCs w:val="18"/>
              </w:rPr>
            </w:pPr>
            <w:r w:rsidRPr="00826B04">
              <w:rPr>
                <w:rFonts w:ascii="Helvetica" w:hAnsi="Helvetica"/>
                <w:b/>
                <w:sz w:val="18"/>
                <w:szCs w:val="18"/>
              </w:rPr>
              <w:t>Final Common Metric or Indicator</w:t>
            </w:r>
          </w:p>
        </w:tc>
      </w:tr>
      <w:tr w:rsidR="00905EE8" w:rsidRPr="00826B04" w14:paraId="102BB4DE" w14:textId="77777777" w:rsidTr="009B2638">
        <w:trPr>
          <w:trHeight w:val="20"/>
        </w:trPr>
        <w:tc>
          <w:tcPr>
            <w:tcW w:w="1212" w:type="pct"/>
            <w:tcBorders>
              <w:top w:val="single" w:sz="5" w:space="0" w:color="000000"/>
              <w:left w:val="single" w:sz="5" w:space="0" w:color="000000"/>
              <w:bottom w:val="single" w:sz="5" w:space="0" w:color="000000"/>
              <w:right w:val="single" w:sz="6" w:space="0" w:color="000000"/>
            </w:tcBorders>
            <w:shd w:val="clear" w:color="auto" w:fill="DBE4F0"/>
          </w:tcPr>
          <w:p w14:paraId="6C8098F8" w14:textId="77777777" w:rsidR="00905EE8" w:rsidRPr="00826B04" w:rsidRDefault="00905EE8" w:rsidP="00826B04">
            <w:pPr>
              <w:pStyle w:val="TableParagraph"/>
              <w:spacing w:before="112"/>
              <w:ind w:left="104"/>
              <w:rPr>
                <w:rFonts w:ascii="Helvetica" w:hAnsi="Helvetica"/>
                <w:sz w:val="18"/>
                <w:szCs w:val="18"/>
              </w:rPr>
            </w:pPr>
            <w:r w:rsidRPr="00826B04">
              <w:rPr>
                <w:rFonts w:ascii="Helvetica" w:hAnsi="Helvetica"/>
                <w:sz w:val="18"/>
                <w:szCs w:val="18"/>
              </w:rPr>
              <w:t xml:space="preserve">Expanding WE&amp;T Reach via </w:t>
            </w:r>
            <w:r w:rsidRPr="00867FA7">
              <w:rPr>
                <w:rFonts w:ascii="Helvetica" w:hAnsi="Helvetica"/>
                <w:sz w:val="18"/>
                <w:szCs w:val="18"/>
                <w:highlight w:val="yellow"/>
              </w:rPr>
              <w:t>Collaborations</w:t>
            </w:r>
          </w:p>
        </w:tc>
        <w:tc>
          <w:tcPr>
            <w:tcW w:w="3788" w:type="pct"/>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14:paraId="1C794EE4" w14:textId="77777777" w:rsidR="00905EE8" w:rsidRPr="00826B04" w:rsidRDefault="00905EE8" w:rsidP="00826B04">
            <w:pPr>
              <w:pStyle w:val="TableParagraph"/>
              <w:spacing w:before="112"/>
              <w:ind w:left="104"/>
              <w:rPr>
                <w:rFonts w:ascii="Helvetica" w:hAnsi="Helvetica"/>
                <w:sz w:val="18"/>
                <w:szCs w:val="18"/>
              </w:rPr>
            </w:pPr>
            <w:r w:rsidRPr="00867FA7">
              <w:rPr>
                <w:rFonts w:ascii="Helvetica" w:hAnsi="Helvetica"/>
                <w:sz w:val="18"/>
                <w:szCs w:val="18"/>
                <w:highlight w:val="yellow"/>
              </w:rPr>
              <w:t>Number of partnerships by sector (complete “partnership” defined by curriculum developed jointly + agreement)</w:t>
            </w:r>
          </w:p>
        </w:tc>
      </w:tr>
      <w:tr w:rsidR="00905EE8" w:rsidRPr="00826B04" w14:paraId="12A27ABD" w14:textId="77777777" w:rsidTr="00DA5A5E">
        <w:trPr>
          <w:trHeight w:val="20"/>
        </w:trPr>
        <w:tc>
          <w:tcPr>
            <w:tcW w:w="1212" w:type="pct"/>
            <w:tcBorders>
              <w:top w:val="single" w:sz="5" w:space="0" w:color="000000"/>
              <w:left w:val="single" w:sz="5" w:space="0" w:color="000000"/>
              <w:bottom w:val="single" w:sz="5" w:space="0" w:color="000000"/>
              <w:right w:val="single" w:sz="6" w:space="0" w:color="000000"/>
            </w:tcBorders>
            <w:shd w:val="clear" w:color="auto" w:fill="DBE4F0"/>
          </w:tcPr>
          <w:p w14:paraId="77C662B7" w14:textId="77777777" w:rsidR="00905EE8" w:rsidRPr="00826B04" w:rsidRDefault="00905EE8" w:rsidP="00826B04">
            <w:pPr>
              <w:pStyle w:val="TableParagraph"/>
              <w:spacing w:before="112"/>
              <w:ind w:left="104"/>
              <w:rPr>
                <w:rFonts w:ascii="Helvetica" w:hAnsi="Helvetica"/>
                <w:sz w:val="18"/>
                <w:szCs w:val="18"/>
              </w:rPr>
            </w:pPr>
            <w:r w:rsidRPr="00826B04">
              <w:rPr>
                <w:rFonts w:ascii="Helvetica" w:hAnsi="Helvetica"/>
                <w:sz w:val="18"/>
                <w:szCs w:val="18"/>
              </w:rPr>
              <w:t>Penetration of</w:t>
            </w:r>
          </w:p>
          <w:p w14:paraId="16AAE888" w14:textId="41860279" w:rsidR="00905EE8" w:rsidRPr="00826B04" w:rsidRDefault="00905EE8" w:rsidP="00DA5A5E">
            <w:pPr>
              <w:pStyle w:val="TableParagraph"/>
              <w:spacing w:before="112"/>
              <w:ind w:left="104"/>
              <w:rPr>
                <w:rFonts w:ascii="Helvetica" w:hAnsi="Helvetica"/>
                <w:sz w:val="18"/>
                <w:szCs w:val="18"/>
              </w:rPr>
            </w:pPr>
            <w:r w:rsidRPr="00826B04">
              <w:rPr>
                <w:rFonts w:ascii="Helvetica" w:hAnsi="Helvetica"/>
                <w:sz w:val="18"/>
                <w:szCs w:val="18"/>
              </w:rPr>
              <w:t xml:space="preserve">training </w:t>
            </w:r>
          </w:p>
        </w:tc>
        <w:tc>
          <w:tcPr>
            <w:tcW w:w="3788" w:type="pct"/>
            <w:tcBorders>
              <w:top w:val="single" w:sz="6" w:space="0" w:color="000000"/>
              <w:left w:val="single" w:sz="6" w:space="0" w:color="000000"/>
              <w:bottom w:val="single" w:sz="6" w:space="0" w:color="000000"/>
              <w:right w:val="single" w:sz="5" w:space="0" w:color="000000"/>
            </w:tcBorders>
            <w:shd w:val="clear" w:color="auto" w:fill="EAF1DD" w:themeFill="accent3" w:themeFillTint="33"/>
          </w:tcPr>
          <w:p w14:paraId="35A759D0" w14:textId="77777777" w:rsidR="00905EE8" w:rsidRPr="00826B04" w:rsidRDefault="00905EE8" w:rsidP="00826B04">
            <w:pPr>
              <w:pStyle w:val="TableParagraph"/>
              <w:spacing w:before="112"/>
              <w:ind w:left="104"/>
              <w:rPr>
                <w:rFonts w:ascii="Helvetica" w:hAnsi="Helvetica"/>
                <w:sz w:val="18"/>
                <w:szCs w:val="18"/>
              </w:rPr>
            </w:pPr>
            <w:r w:rsidRPr="00867FA7">
              <w:rPr>
                <w:rFonts w:ascii="Helvetica" w:hAnsi="Helvetica"/>
                <w:sz w:val="18"/>
                <w:szCs w:val="18"/>
                <w:highlight w:val="yellow"/>
              </w:rPr>
              <w:t>Number of participants by sector</w:t>
            </w:r>
          </w:p>
          <w:p w14:paraId="71D39313" w14:textId="42B6ACC1" w:rsidR="00905EE8" w:rsidRPr="00826B04" w:rsidRDefault="00905EE8" w:rsidP="00DA5A5E">
            <w:pPr>
              <w:pStyle w:val="TableParagraph"/>
              <w:spacing w:before="112"/>
              <w:ind w:left="0"/>
              <w:rPr>
                <w:rFonts w:ascii="Helvetica" w:hAnsi="Helvetica"/>
                <w:sz w:val="18"/>
                <w:szCs w:val="18"/>
              </w:rPr>
            </w:pPr>
          </w:p>
        </w:tc>
      </w:tr>
      <w:tr w:rsidR="00DA5A5E" w:rsidRPr="00826B04" w14:paraId="0B185007" w14:textId="77777777" w:rsidTr="00622BB8">
        <w:trPr>
          <w:trHeight w:val="20"/>
        </w:trPr>
        <w:tc>
          <w:tcPr>
            <w:tcW w:w="1212" w:type="pct"/>
            <w:tcBorders>
              <w:top w:val="single" w:sz="5" w:space="0" w:color="000000"/>
              <w:left w:val="single" w:sz="5" w:space="0" w:color="000000"/>
              <w:bottom w:val="single" w:sz="5" w:space="0" w:color="000000"/>
              <w:right w:val="single" w:sz="6" w:space="0" w:color="000000"/>
            </w:tcBorders>
            <w:shd w:val="clear" w:color="auto" w:fill="DBE4F0"/>
          </w:tcPr>
          <w:p w14:paraId="0EE5FEBC" w14:textId="77777777" w:rsidR="00DA5A5E" w:rsidRPr="00826B04" w:rsidRDefault="00DA5A5E" w:rsidP="00826B04">
            <w:pPr>
              <w:pStyle w:val="TableParagraph"/>
              <w:spacing w:before="112"/>
              <w:ind w:left="104"/>
              <w:rPr>
                <w:rFonts w:ascii="Helvetica" w:hAnsi="Helvetica"/>
                <w:sz w:val="18"/>
                <w:szCs w:val="18"/>
              </w:rPr>
            </w:pPr>
          </w:p>
        </w:tc>
        <w:tc>
          <w:tcPr>
            <w:tcW w:w="3788" w:type="pct"/>
            <w:tcBorders>
              <w:top w:val="single" w:sz="6" w:space="0" w:color="000000"/>
              <w:left w:val="single" w:sz="6" w:space="0" w:color="000000"/>
              <w:bottom w:val="single" w:sz="4" w:space="0" w:color="000000"/>
              <w:right w:val="single" w:sz="6" w:space="0" w:color="000000"/>
            </w:tcBorders>
            <w:shd w:val="clear" w:color="auto" w:fill="auto"/>
          </w:tcPr>
          <w:p w14:paraId="53AD363C" w14:textId="77777777" w:rsidR="00DA5A5E" w:rsidRPr="00826B04" w:rsidRDefault="00DA5A5E" w:rsidP="00DA5A5E">
            <w:pPr>
              <w:pStyle w:val="TableParagraph"/>
              <w:spacing w:before="112"/>
              <w:ind w:left="104"/>
              <w:rPr>
                <w:rFonts w:ascii="Helvetica" w:hAnsi="Helvetica"/>
                <w:sz w:val="18"/>
                <w:szCs w:val="18"/>
              </w:rPr>
            </w:pPr>
            <w:r w:rsidRPr="00826B04">
              <w:rPr>
                <w:rFonts w:ascii="Helvetica" w:hAnsi="Helvetica"/>
                <w:sz w:val="18"/>
                <w:szCs w:val="18"/>
              </w:rPr>
              <w:t>Percent of participation relative to eligible target population for curriculum</w:t>
            </w:r>
          </w:p>
          <w:p w14:paraId="286A24F3" w14:textId="77777777" w:rsidR="00DA5A5E" w:rsidRPr="00867FA7" w:rsidRDefault="00DA5A5E" w:rsidP="00826B04">
            <w:pPr>
              <w:pStyle w:val="TableParagraph"/>
              <w:spacing w:before="112"/>
              <w:ind w:left="104"/>
              <w:rPr>
                <w:rFonts w:ascii="Helvetica" w:hAnsi="Helvetica"/>
                <w:sz w:val="18"/>
                <w:szCs w:val="18"/>
                <w:highlight w:val="yellow"/>
              </w:rPr>
            </w:pPr>
          </w:p>
        </w:tc>
      </w:tr>
      <w:tr w:rsidR="00622BB8" w:rsidRPr="00826B04" w14:paraId="0D38AA5D" w14:textId="77777777" w:rsidTr="00622BB8">
        <w:trPr>
          <w:trHeight w:val="20"/>
        </w:trPr>
        <w:tc>
          <w:tcPr>
            <w:tcW w:w="1212" w:type="pct"/>
            <w:tcBorders>
              <w:top w:val="single" w:sz="5" w:space="0" w:color="000000"/>
              <w:left w:val="single" w:sz="5" w:space="0" w:color="000000"/>
              <w:bottom w:val="single" w:sz="5" w:space="0" w:color="000000"/>
              <w:right w:val="single" w:sz="6" w:space="0" w:color="000000"/>
            </w:tcBorders>
            <w:shd w:val="clear" w:color="auto" w:fill="DBE4F0"/>
          </w:tcPr>
          <w:p w14:paraId="19A63EB6" w14:textId="365E3EC8" w:rsidR="00622BB8" w:rsidRPr="00826B04" w:rsidRDefault="00622BB8" w:rsidP="00826B04">
            <w:pPr>
              <w:pStyle w:val="TableParagraph"/>
              <w:spacing w:before="112"/>
              <w:ind w:left="104"/>
              <w:rPr>
                <w:rFonts w:ascii="Helvetica" w:hAnsi="Helvetica"/>
                <w:sz w:val="18"/>
                <w:szCs w:val="18"/>
              </w:rPr>
            </w:pPr>
            <w:r w:rsidRPr="00826B04">
              <w:rPr>
                <w:rFonts w:ascii="Helvetica" w:hAnsi="Helvetica"/>
                <w:sz w:val="18"/>
                <w:szCs w:val="18"/>
              </w:rPr>
              <w:t>Diversity of participants</w:t>
            </w:r>
          </w:p>
        </w:tc>
        <w:tc>
          <w:tcPr>
            <w:tcW w:w="3788" w:type="pct"/>
            <w:tcBorders>
              <w:top w:val="single" w:sz="6" w:space="0" w:color="000000"/>
              <w:left w:val="single" w:sz="6" w:space="0" w:color="000000"/>
              <w:bottom w:val="single" w:sz="4" w:space="0" w:color="000000"/>
              <w:right w:val="single" w:sz="6" w:space="0" w:color="000000"/>
            </w:tcBorders>
            <w:shd w:val="clear" w:color="auto" w:fill="auto"/>
          </w:tcPr>
          <w:p w14:paraId="5975966F" w14:textId="77777777" w:rsidR="00622BB8" w:rsidRPr="00826B04" w:rsidRDefault="00622BB8" w:rsidP="00622BB8">
            <w:pPr>
              <w:pStyle w:val="TableParagraph"/>
              <w:spacing w:before="112"/>
              <w:ind w:left="104"/>
              <w:rPr>
                <w:rFonts w:ascii="Helvetica" w:hAnsi="Helvetica"/>
                <w:sz w:val="18"/>
                <w:szCs w:val="18"/>
              </w:rPr>
            </w:pPr>
            <w:r w:rsidRPr="00826B04">
              <w:rPr>
                <w:rFonts w:ascii="Helvetica" w:hAnsi="Helvetica"/>
                <w:sz w:val="18"/>
                <w:szCs w:val="18"/>
              </w:rPr>
              <w:t>Percent of disadvantaged participants trained (ID by zip code)</w:t>
            </w:r>
          </w:p>
          <w:p w14:paraId="19C09C4B" w14:textId="77777777" w:rsidR="00622BB8" w:rsidRPr="00826B04" w:rsidRDefault="00622BB8" w:rsidP="00DA5A5E">
            <w:pPr>
              <w:pStyle w:val="TableParagraph"/>
              <w:spacing w:before="112"/>
              <w:ind w:left="104"/>
              <w:rPr>
                <w:rFonts w:ascii="Helvetica" w:hAnsi="Helvetica"/>
                <w:sz w:val="18"/>
                <w:szCs w:val="18"/>
              </w:rPr>
            </w:pPr>
          </w:p>
        </w:tc>
      </w:tr>
      <w:tr w:rsidR="00622BB8" w:rsidRPr="00826B04" w14:paraId="4051C1F0" w14:textId="77777777" w:rsidTr="00622BB8">
        <w:trPr>
          <w:trHeight w:val="20"/>
        </w:trPr>
        <w:tc>
          <w:tcPr>
            <w:tcW w:w="1212" w:type="pct"/>
            <w:tcBorders>
              <w:top w:val="single" w:sz="5" w:space="0" w:color="000000"/>
              <w:left w:val="single" w:sz="5" w:space="0" w:color="000000"/>
              <w:bottom w:val="single" w:sz="5" w:space="0" w:color="000000"/>
              <w:right w:val="single" w:sz="6" w:space="0" w:color="000000"/>
            </w:tcBorders>
            <w:shd w:val="clear" w:color="auto" w:fill="DBE4F0"/>
          </w:tcPr>
          <w:p w14:paraId="7B1C30CD" w14:textId="77777777" w:rsidR="00622BB8" w:rsidRPr="00826B04" w:rsidRDefault="00622BB8" w:rsidP="00826B04">
            <w:pPr>
              <w:pStyle w:val="TableParagraph"/>
              <w:spacing w:before="112"/>
              <w:ind w:left="104"/>
              <w:rPr>
                <w:rFonts w:ascii="Helvetica" w:hAnsi="Helvetica"/>
                <w:sz w:val="18"/>
                <w:szCs w:val="18"/>
              </w:rPr>
            </w:pPr>
          </w:p>
        </w:tc>
        <w:tc>
          <w:tcPr>
            <w:tcW w:w="3788" w:type="pct"/>
            <w:tcBorders>
              <w:top w:val="single" w:sz="4" w:space="0" w:color="000000"/>
              <w:left w:val="single" w:sz="6" w:space="0" w:color="000000"/>
              <w:bottom w:val="single" w:sz="6" w:space="0" w:color="000000"/>
              <w:right w:val="single" w:sz="6" w:space="0" w:color="000000"/>
            </w:tcBorders>
            <w:shd w:val="clear" w:color="auto" w:fill="EAF1DD" w:themeFill="accent3" w:themeFillTint="33"/>
          </w:tcPr>
          <w:p w14:paraId="0A76D99C" w14:textId="77777777" w:rsidR="00622BB8" w:rsidRPr="00826B04" w:rsidRDefault="00622BB8" w:rsidP="00622BB8">
            <w:pPr>
              <w:pStyle w:val="TableParagraph"/>
              <w:shd w:val="clear" w:color="auto" w:fill="EAF1DD" w:themeFill="accent3" w:themeFillTint="33"/>
              <w:spacing w:before="112"/>
              <w:ind w:left="104"/>
              <w:rPr>
                <w:rFonts w:ascii="Helvetica" w:hAnsi="Helvetica"/>
                <w:sz w:val="18"/>
                <w:szCs w:val="18"/>
              </w:rPr>
            </w:pPr>
            <w:r w:rsidRPr="00867FA7">
              <w:rPr>
                <w:rFonts w:ascii="Helvetica" w:hAnsi="Helvetica"/>
                <w:sz w:val="18"/>
                <w:szCs w:val="18"/>
                <w:highlight w:val="yellow"/>
              </w:rPr>
              <w:t>Percent of incentive dollars spent on measures verified to have been installed by contractors with a demonstrated commitment to provide career pathways to disadvantaged workers</w:t>
            </w:r>
          </w:p>
          <w:p w14:paraId="0C86F7FD" w14:textId="77777777" w:rsidR="00622BB8" w:rsidRPr="00826B04" w:rsidRDefault="00622BB8" w:rsidP="00622BB8">
            <w:pPr>
              <w:pStyle w:val="TableParagraph"/>
              <w:shd w:val="clear" w:color="auto" w:fill="EAF1DD" w:themeFill="accent3" w:themeFillTint="33"/>
              <w:spacing w:before="112"/>
              <w:ind w:left="104"/>
              <w:rPr>
                <w:rFonts w:ascii="Helvetica" w:hAnsi="Helvetica"/>
                <w:sz w:val="18"/>
                <w:szCs w:val="18"/>
              </w:rPr>
            </w:pPr>
          </w:p>
          <w:p w14:paraId="03892B60" w14:textId="30E44EDF" w:rsidR="00622BB8" w:rsidRPr="00826B04" w:rsidRDefault="00622BB8" w:rsidP="00622BB8">
            <w:pPr>
              <w:pStyle w:val="TableParagraph"/>
              <w:spacing w:before="112"/>
              <w:ind w:left="104"/>
              <w:rPr>
                <w:rFonts w:ascii="Helvetica" w:hAnsi="Helvetica"/>
                <w:sz w:val="18"/>
                <w:szCs w:val="18"/>
              </w:rPr>
            </w:pPr>
            <w:r w:rsidRPr="00867FA7">
              <w:rPr>
                <w:rFonts w:ascii="Helvetica" w:hAnsi="Helvetica"/>
                <w:sz w:val="18"/>
                <w:szCs w:val="18"/>
                <w:highlight w:val="yellow"/>
              </w:rPr>
              <w:t>[</w:t>
            </w:r>
            <w:r w:rsidRPr="00867FA7">
              <w:rPr>
                <w:rFonts w:ascii="Helvetica" w:hAnsi="Helvetica"/>
                <w:color w:val="0070C0"/>
                <w:sz w:val="18"/>
                <w:szCs w:val="18"/>
                <w:highlight w:val="yellow"/>
              </w:rPr>
              <w:t>Indicator] Number of energy efficiency projects related to the WE&amp;T training on which a participant has been employed for 12 months after receiving the training</w:t>
            </w:r>
          </w:p>
        </w:tc>
      </w:tr>
    </w:tbl>
    <w:p w14:paraId="04044497" w14:textId="42F658AB" w:rsidR="006316EC" w:rsidRPr="00BE1AD1" w:rsidRDefault="006316EC" w:rsidP="0089630A">
      <w:pPr>
        <w:pStyle w:val="BodyText"/>
        <w:spacing w:before="6"/>
        <w:rPr>
          <w:rFonts w:ascii="Helvetica" w:hAnsi="Helvetica"/>
          <w:b/>
          <w:sz w:val="18"/>
          <w:szCs w:val="18"/>
        </w:rPr>
      </w:pPr>
    </w:p>
    <w:p w14:paraId="32C80722" w14:textId="77777777" w:rsidR="006316EC" w:rsidRPr="00BE1AD1" w:rsidRDefault="006316EC" w:rsidP="007A05AD">
      <w:pPr>
        <w:ind w:left="220"/>
        <w:outlineLvl w:val="0"/>
        <w:rPr>
          <w:rFonts w:ascii="Helvetica" w:hAnsi="Helvetica"/>
          <w:b/>
          <w:sz w:val="18"/>
          <w:szCs w:val="18"/>
        </w:rPr>
      </w:pPr>
      <w:r w:rsidRPr="00BE1AD1">
        <w:rPr>
          <w:rFonts w:ascii="Helvetica" w:hAnsi="Helvetica"/>
          <w:b/>
          <w:sz w:val="18"/>
          <w:szCs w:val="18"/>
        </w:rPr>
        <w:t>Codes and Standards (C&amp;S)</w:t>
      </w:r>
    </w:p>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0" w:type="dxa"/>
          <w:right w:w="0" w:type="dxa"/>
        </w:tblCellMar>
        <w:tblLook w:val="01E0" w:firstRow="1" w:lastRow="1" w:firstColumn="1" w:lastColumn="1" w:noHBand="0" w:noVBand="0"/>
      </w:tblPr>
      <w:tblGrid>
        <w:gridCol w:w="3056"/>
        <w:gridCol w:w="9895"/>
      </w:tblGrid>
      <w:tr w:rsidR="0012350B" w:rsidRPr="00BE1AD1" w14:paraId="3FE1CA04" w14:textId="2942BE46" w:rsidTr="001514EF">
        <w:tc>
          <w:tcPr>
            <w:tcW w:w="3056" w:type="dxa"/>
            <w:tcBorders>
              <w:top w:val="single" w:sz="4" w:space="0" w:color="000000"/>
              <w:left w:val="single" w:sz="4" w:space="0" w:color="000000"/>
            </w:tcBorders>
            <w:shd w:val="clear" w:color="auto" w:fill="DBE4F0"/>
          </w:tcPr>
          <w:p w14:paraId="3EC6789F" w14:textId="77777777" w:rsidR="0012350B" w:rsidRPr="00BE1AD1" w:rsidRDefault="0012350B" w:rsidP="0089630A">
            <w:pPr>
              <w:pStyle w:val="TableParagraph"/>
              <w:spacing w:before="64"/>
              <w:ind w:left="104"/>
              <w:rPr>
                <w:rFonts w:ascii="Helvetica" w:hAnsi="Helvetica"/>
                <w:b/>
                <w:sz w:val="18"/>
                <w:szCs w:val="18"/>
              </w:rPr>
            </w:pPr>
            <w:r w:rsidRPr="00BE1AD1">
              <w:rPr>
                <w:rFonts w:ascii="Helvetica" w:hAnsi="Helvetica"/>
                <w:b/>
                <w:sz w:val="18"/>
                <w:szCs w:val="18"/>
              </w:rPr>
              <w:t>Common Problem</w:t>
            </w:r>
          </w:p>
        </w:tc>
        <w:tc>
          <w:tcPr>
            <w:tcW w:w="9896" w:type="dxa"/>
            <w:tcBorders>
              <w:top w:val="single" w:sz="4" w:space="0" w:color="000000"/>
            </w:tcBorders>
          </w:tcPr>
          <w:p w14:paraId="008A3F60" w14:textId="77777777" w:rsidR="0012350B" w:rsidRPr="00BE1AD1" w:rsidRDefault="0012350B" w:rsidP="0089630A">
            <w:pPr>
              <w:pStyle w:val="TableParagraph"/>
              <w:spacing w:before="64"/>
              <w:rPr>
                <w:rFonts w:ascii="Helvetica" w:hAnsi="Helvetica"/>
                <w:b/>
                <w:sz w:val="18"/>
                <w:szCs w:val="18"/>
              </w:rPr>
            </w:pPr>
          </w:p>
        </w:tc>
      </w:tr>
      <w:tr w:rsidR="0012350B" w:rsidRPr="00BE1AD1" w14:paraId="06FDE614" w14:textId="52AE0557" w:rsidTr="001514EF">
        <w:tc>
          <w:tcPr>
            <w:tcW w:w="3056" w:type="dxa"/>
            <w:tcBorders>
              <w:left w:val="single" w:sz="4" w:space="0" w:color="000000"/>
            </w:tcBorders>
            <w:shd w:val="clear" w:color="auto" w:fill="DBE4F0"/>
          </w:tcPr>
          <w:p w14:paraId="540FD930" w14:textId="77777777" w:rsidR="0012350B" w:rsidRPr="00BE1AD1" w:rsidRDefault="0012350B" w:rsidP="0089630A">
            <w:pPr>
              <w:pStyle w:val="TableParagraph"/>
              <w:spacing w:before="112"/>
              <w:ind w:left="104"/>
              <w:rPr>
                <w:rFonts w:ascii="Helvetica" w:hAnsi="Helvetica"/>
                <w:sz w:val="18"/>
                <w:szCs w:val="18"/>
              </w:rPr>
            </w:pPr>
            <w:r w:rsidRPr="00BE1AD1">
              <w:rPr>
                <w:rFonts w:ascii="Helvetica" w:hAnsi="Helvetica"/>
                <w:sz w:val="18"/>
                <w:szCs w:val="18"/>
              </w:rPr>
              <w:t>Capturing energy savings</w:t>
            </w:r>
          </w:p>
        </w:tc>
        <w:tc>
          <w:tcPr>
            <w:tcW w:w="9896" w:type="dxa"/>
          </w:tcPr>
          <w:p w14:paraId="790FAEAC" w14:textId="5AA73813" w:rsidR="0012350B" w:rsidRPr="00BE1AD1" w:rsidRDefault="0012350B" w:rsidP="0089630A">
            <w:pPr>
              <w:pStyle w:val="TableParagraph"/>
              <w:tabs>
                <w:tab w:val="left" w:pos="2263"/>
              </w:tabs>
              <w:spacing w:before="112"/>
              <w:rPr>
                <w:rFonts w:ascii="Helvetica" w:hAnsi="Helvetica"/>
                <w:sz w:val="18"/>
                <w:szCs w:val="18"/>
              </w:rPr>
            </w:pPr>
            <w:r w:rsidRPr="00BE1AD1">
              <w:rPr>
                <w:rFonts w:ascii="Helvetica" w:hAnsi="Helvetica"/>
                <w:sz w:val="18"/>
                <w:szCs w:val="18"/>
              </w:rPr>
              <w:t>Net Energy Savings: GWH, M Therms and MW (demand)</w:t>
            </w:r>
          </w:p>
        </w:tc>
      </w:tr>
      <w:tr w:rsidR="0012350B" w:rsidRPr="00BE1AD1" w14:paraId="105EC915" w14:textId="69AD0081" w:rsidTr="00622BB8">
        <w:tc>
          <w:tcPr>
            <w:tcW w:w="3056" w:type="dxa"/>
            <w:tcBorders>
              <w:left w:val="single" w:sz="4" w:space="0" w:color="000000"/>
            </w:tcBorders>
            <w:shd w:val="clear" w:color="auto" w:fill="DBE4F0"/>
          </w:tcPr>
          <w:p w14:paraId="557048AF" w14:textId="0AA58339" w:rsidR="0012350B" w:rsidRPr="00385620" w:rsidRDefault="0012350B" w:rsidP="001414C9">
            <w:pPr>
              <w:pStyle w:val="TableParagraph"/>
              <w:spacing w:before="230" w:line="247" w:lineRule="auto"/>
              <w:ind w:left="0" w:right="178"/>
              <w:rPr>
                <w:rFonts w:ascii="Helvetica" w:hAnsi="Helvetica"/>
                <w:sz w:val="18"/>
                <w:szCs w:val="18"/>
              </w:rPr>
            </w:pPr>
            <w:r w:rsidRPr="00385620">
              <w:rPr>
                <w:rFonts w:ascii="Helvetica" w:hAnsi="Helvetica"/>
                <w:sz w:val="18"/>
                <w:szCs w:val="18"/>
              </w:rPr>
              <w:t>Activity in advocating for building codes (T-24) tied to adoption in CA</w:t>
            </w:r>
          </w:p>
        </w:tc>
        <w:tc>
          <w:tcPr>
            <w:tcW w:w="9896" w:type="dxa"/>
            <w:tcBorders>
              <w:bottom w:val="single" w:sz="4" w:space="0" w:color="000000"/>
            </w:tcBorders>
          </w:tcPr>
          <w:p w14:paraId="04386514" w14:textId="77777777" w:rsidR="0012350B" w:rsidRPr="001F35DE" w:rsidRDefault="0012350B" w:rsidP="0089630A">
            <w:pPr>
              <w:pStyle w:val="TableParagraph"/>
              <w:spacing w:before="69"/>
              <w:rPr>
                <w:rFonts w:ascii="Helvetica" w:hAnsi="Helvetica"/>
                <w:sz w:val="18"/>
                <w:szCs w:val="18"/>
              </w:rPr>
            </w:pPr>
            <w:r w:rsidRPr="001F35DE">
              <w:rPr>
                <w:rFonts w:ascii="Helvetica" w:hAnsi="Helvetica"/>
                <w:sz w:val="18"/>
                <w:szCs w:val="18"/>
              </w:rPr>
              <w:t>Number of measures supported by CASE studies in rulemaking cycle (current work)</w:t>
            </w:r>
          </w:p>
          <w:p w14:paraId="14D042CA" w14:textId="425F92EE" w:rsidR="0012350B" w:rsidRPr="00BE1AD1" w:rsidRDefault="0012350B" w:rsidP="0089630A">
            <w:pPr>
              <w:pStyle w:val="TableParagraph"/>
              <w:spacing w:before="69"/>
              <w:rPr>
                <w:rFonts w:ascii="Helvetica" w:hAnsi="Helvetica"/>
                <w:sz w:val="18"/>
                <w:szCs w:val="18"/>
              </w:rPr>
            </w:pPr>
            <w:r w:rsidRPr="001F35DE">
              <w:rPr>
                <w:rFonts w:ascii="Helvetica" w:hAnsi="Helvetica"/>
                <w:sz w:val="18"/>
                <w:szCs w:val="18"/>
              </w:rPr>
              <w:t>Number of measures adopted by CEC in rulemaking cycle (indicator of past work)</w:t>
            </w:r>
          </w:p>
          <w:p w14:paraId="2CF9572A" w14:textId="028A75A7" w:rsidR="0012350B" w:rsidRPr="00BE1AD1" w:rsidRDefault="0012350B" w:rsidP="0089630A">
            <w:pPr>
              <w:pStyle w:val="TableParagraph"/>
              <w:spacing w:before="69"/>
              <w:rPr>
                <w:rFonts w:ascii="Helvetica" w:hAnsi="Helvetica"/>
                <w:sz w:val="18"/>
                <w:szCs w:val="18"/>
              </w:rPr>
            </w:pPr>
          </w:p>
        </w:tc>
      </w:tr>
      <w:tr w:rsidR="0012350B" w:rsidRPr="00BE1AD1" w14:paraId="35999950" w14:textId="77777777" w:rsidTr="00622BB8">
        <w:tc>
          <w:tcPr>
            <w:tcW w:w="3056" w:type="dxa"/>
            <w:tcBorders>
              <w:left w:val="single" w:sz="4" w:space="0" w:color="000000"/>
              <w:right w:val="single" w:sz="4" w:space="0" w:color="000000"/>
            </w:tcBorders>
            <w:shd w:val="clear" w:color="auto" w:fill="DBE4F0"/>
          </w:tcPr>
          <w:p w14:paraId="553A707E" w14:textId="0DD7D02A" w:rsidR="0012350B" w:rsidRPr="00385620" w:rsidRDefault="0012350B" w:rsidP="009707F2">
            <w:pPr>
              <w:rPr>
                <w:rFonts w:ascii="Helvetica" w:hAnsi="Helvetica"/>
                <w:sz w:val="18"/>
                <w:szCs w:val="18"/>
              </w:rPr>
            </w:pPr>
            <w:r w:rsidRPr="00385620">
              <w:rPr>
                <w:rFonts w:ascii="Helvetica" w:hAnsi="Helvetica"/>
                <w:sz w:val="18"/>
                <w:szCs w:val="18"/>
              </w:rPr>
              <w:t>Activity in advocating for appliance, lighting and equipment standards tied to adoption in CA</w:t>
            </w:r>
          </w:p>
        </w:tc>
        <w:tc>
          <w:tcPr>
            <w:tcW w:w="9896" w:type="dxa"/>
            <w:tcBorders>
              <w:top w:val="single" w:sz="4" w:space="0" w:color="000000"/>
              <w:left w:val="single" w:sz="4" w:space="0" w:color="000000"/>
              <w:bottom w:val="single" w:sz="4" w:space="0" w:color="000000"/>
              <w:right w:val="single" w:sz="4" w:space="0" w:color="000000"/>
            </w:tcBorders>
            <w:shd w:val="clear" w:color="auto" w:fill="auto"/>
          </w:tcPr>
          <w:p w14:paraId="6EE7BF9F" w14:textId="77777777" w:rsidR="0012350B" w:rsidRPr="001514EF" w:rsidRDefault="0012350B" w:rsidP="0089630A">
            <w:pPr>
              <w:pStyle w:val="TableParagraph"/>
              <w:spacing w:before="69"/>
              <w:rPr>
                <w:rFonts w:ascii="Helvetica" w:hAnsi="Helvetica"/>
                <w:sz w:val="18"/>
                <w:szCs w:val="18"/>
              </w:rPr>
            </w:pPr>
            <w:r w:rsidRPr="001514EF">
              <w:rPr>
                <w:rFonts w:ascii="Helvetica" w:hAnsi="Helvetica"/>
                <w:sz w:val="18"/>
                <w:szCs w:val="18"/>
              </w:rPr>
              <w:t>Number of T-20 measures supported by CASE studies in rulemaking cycle (current work)</w:t>
            </w:r>
          </w:p>
          <w:p w14:paraId="4E29D33D" w14:textId="41F5178C" w:rsidR="0012350B" w:rsidRPr="00BE1AD1" w:rsidRDefault="0012350B" w:rsidP="0089630A">
            <w:pPr>
              <w:pStyle w:val="TableParagraph"/>
              <w:spacing w:before="69"/>
              <w:rPr>
                <w:rFonts w:ascii="Helvetica" w:hAnsi="Helvetica"/>
                <w:sz w:val="18"/>
                <w:szCs w:val="18"/>
              </w:rPr>
            </w:pPr>
          </w:p>
        </w:tc>
      </w:tr>
      <w:tr w:rsidR="00622BB8" w:rsidRPr="00BE1AD1" w14:paraId="285A3031" w14:textId="77777777" w:rsidTr="001514EF">
        <w:tc>
          <w:tcPr>
            <w:tcW w:w="3056" w:type="dxa"/>
            <w:tcBorders>
              <w:left w:val="single" w:sz="4" w:space="0" w:color="000000"/>
              <w:right w:val="single" w:sz="4" w:space="0" w:color="000000"/>
            </w:tcBorders>
            <w:shd w:val="clear" w:color="auto" w:fill="DBE4F0"/>
          </w:tcPr>
          <w:p w14:paraId="266574BD" w14:textId="77777777" w:rsidR="00622BB8" w:rsidRPr="00385620" w:rsidRDefault="00622BB8" w:rsidP="0089630A">
            <w:pPr>
              <w:rPr>
                <w:rFonts w:ascii="Helvetica" w:hAnsi="Helvetica"/>
                <w:sz w:val="18"/>
                <w:szCs w:val="18"/>
              </w:rPr>
            </w:pPr>
          </w:p>
        </w:tc>
        <w:tc>
          <w:tcPr>
            <w:tcW w:w="98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D3C2B6A" w14:textId="72951CD1" w:rsidR="00622BB8" w:rsidRPr="00EF4B2D" w:rsidRDefault="00622BB8" w:rsidP="0089630A">
            <w:pPr>
              <w:pStyle w:val="TableParagraph"/>
              <w:spacing w:before="69"/>
              <w:rPr>
                <w:rFonts w:ascii="Helvetica" w:hAnsi="Helvetica"/>
                <w:sz w:val="18"/>
                <w:szCs w:val="18"/>
                <w:highlight w:val="yellow"/>
              </w:rPr>
            </w:pPr>
            <w:r w:rsidRPr="00EF4B2D">
              <w:rPr>
                <w:rFonts w:ascii="Helvetica" w:hAnsi="Helvetica"/>
                <w:sz w:val="18"/>
                <w:szCs w:val="18"/>
                <w:highlight w:val="yellow"/>
              </w:rPr>
              <w:t>Number of measures adopted by CEC in current year</w:t>
            </w:r>
          </w:p>
        </w:tc>
      </w:tr>
      <w:tr w:rsidR="0012350B" w:rsidRPr="00BE1AD1" w14:paraId="67E7A45E" w14:textId="1A5BCD01" w:rsidTr="001514EF">
        <w:tc>
          <w:tcPr>
            <w:tcW w:w="3056" w:type="dxa"/>
            <w:tcBorders>
              <w:left w:val="single" w:sz="4" w:space="0" w:color="000000"/>
            </w:tcBorders>
            <w:shd w:val="clear" w:color="auto" w:fill="DBE4F0"/>
          </w:tcPr>
          <w:p w14:paraId="40155EEE" w14:textId="77777777" w:rsidR="0012350B" w:rsidRPr="00BE1AD1" w:rsidRDefault="0012350B" w:rsidP="0089630A">
            <w:pPr>
              <w:pStyle w:val="TableParagraph"/>
              <w:spacing w:line="247" w:lineRule="auto"/>
              <w:ind w:left="104" w:right="83"/>
              <w:rPr>
                <w:rFonts w:ascii="Helvetica" w:hAnsi="Helvetica"/>
                <w:sz w:val="18"/>
                <w:szCs w:val="18"/>
              </w:rPr>
            </w:pPr>
            <w:r w:rsidRPr="00BE1AD1">
              <w:rPr>
                <w:rFonts w:ascii="Helvetica" w:hAnsi="Helvetica"/>
                <w:sz w:val="18"/>
                <w:szCs w:val="18"/>
              </w:rPr>
              <w:t>Local government participation and success in adoption of reach codes</w:t>
            </w:r>
          </w:p>
        </w:tc>
        <w:tc>
          <w:tcPr>
            <w:tcW w:w="9896" w:type="dxa"/>
            <w:tcBorders>
              <w:top w:val="single" w:sz="4" w:space="0" w:color="000000"/>
              <w:bottom w:val="single" w:sz="4" w:space="0" w:color="000000"/>
            </w:tcBorders>
          </w:tcPr>
          <w:p w14:paraId="4ED46499" w14:textId="1ACDFC25" w:rsidR="0012350B" w:rsidRPr="00BE1AD1" w:rsidRDefault="0012350B" w:rsidP="0089630A">
            <w:pPr>
              <w:pStyle w:val="TableParagraph"/>
              <w:spacing w:line="247" w:lineRule="auto"/>
              <w:ind w:right="326"/>
              <w:rPr>
                <w:rFonts w:ascii="Helvetica" w:hAnsi="Helvetica"/>
                <w:sz w:val="18"/>
                <w:szCs w:val="18"/>
              </w:rPr>
            </w:pPr>
            <w:r w:rsidRPr="00BE1AD1">
              <w:rPr>
                <w:rFonts w:ascii="Helvetica" w:hAnsi="Helvetica"/>
                <w:sz w:val="18"/>
                <w:szCs w:val="18"/>
              </w:rPr>
              <w:t>The number of local government Reach Codes implemented (this is a joint IOU and REN effort</w:t>
            </w:r>
          </w:p>
        </w:tc>
      </w:tr>
      <w:tr w:rsidR="0012350B" w:rsidRPr="00BE1AD1" w14:paraId="506F935F" w14:textId="45241521" w:rsidTr="003F66F9">
        <w:tc>
          <w:tcPr>
            <w:tcW w:w="3056" w:type="dxa"/>
            <w:tcBorders>
              <w:left w:val="single" w:sz="4" w:space="0" w:color="000000"/>
              <w:right w:val="single" w:sz="4" w:space="0" w:color="000000"/>
            </w:tcBorders>
            <w:shd w:val="clear" w:color="auto" w:fill="DBE4F0"/>
          </w:tcPr>
          <w:p w14:paraId="3C999A04" w14:textId="77777777" w:rsidR="0012350B" w:rsidRPr="00BE1AD1" w:rsidRDefault="0012350B" w:rsidP="0089630A">
            <w:pPr>
              <w:pStyle w:val="TableParagraph"/>
              <w:spacing w:line="247" w:lineRule="auto"/>
              <w:ind w:left="104" w:right="178"/>
              <w:rPr>
                <w:rFonts w:ascii="Helvetica" w:hAnsi="Helvetica"/>
                <w:sz w:val="18"/>
                <w:szCs w:val="18"/>
              </w:rPr>
            </w:pPr>
            <w:r w:rsidRPr="00BE1AD1">
              <w:rPr>
                <w:rFonts w:ascii="Helvetica" w:hAnsi="Helvetica"/>
                <w:sz w:val="18"/>
                <w:szCs w:val="18"/>
              </w:rPr>
              <w:t>Activity in advocating for codes and standards tied to adoption at the federal level</w:t>
            </w:r>
          </w:p>
        </w:tc>
        <w:tc>
          <w:tcPr>
            <w:tcW w:w="98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33E6432" w14:textId="77777777" w:rsidR="0012350B" w:rsidRPr="00EF4B2D" w:rsidRDefault="0012350B" w:rsidP="0089630A">
            <w:pPr>
              <w:rPr>
                <w:rFonts w:ascii="Helvetica" w:hAnsi="Helvetica"/>
                <w:sz w:val="18"/>
                <w:szCs w:val="18"/>
                <w:highlight w:val="yellow"/>
              </w:rPr>
            </w:pPr>
            <w:r w:rsidRPr="00EF4B2D">
              <w:rPr>
                <w:rFonts w:ascii="Helvetica" w:hAnsi="Helvetica"/>
                <w:sz w:val="18"/>
                <w:szCs w:val="18"/>
                <w:highlight w:val="yellow"/>
              </w:rPr>
              <w:t>Number of federal standards adopted for which a utility advocated (IOUs to list advocated activities)</w:t>
            </w:r>
          </w:p>
          <w:p w14:paraId="144B5AC6" w14:textId="481A49D3" w:rsidR="0012350B" w:rsidRPr="00EF4B2D" w:rsidRDefault="0012350B" w:rsidP="003F66F9">
            <w:pPr>
              <w:rPr>
                <w:rFonts w:ascii="Helvetica" w:hAnsi="Helvetica"/>
                <w:sz w:val="18"/>
                <w:szCs w:val="18"/>
                <w:highlight w:val="yellow"/>
              </w:rPr>
            </w:pPr>
          </w:p>
        </w:tc>
      </w:tr>
      <w:tr w:rsidR="003F66F9" w:rsidRPr="00BE1AD1" w14:paraId="6758108A" w14:textId="77777777" w:rsidTr="003F66F9">
        <w:tc>
          <w:tcPr>
            <w:tcW w:w="3056" w:type="dxa"/>
            <w:tcBorders>
              <w:left w:val="single" w:sz="4" w:space="0" w:color="000000"/>
              <w:right w:val="single" w:sz="4" w:space="0" w:color="000000"/>
            </w:tcBorders>
            <w:shd w:val="clear" w:color="auto" w:fill="DBE4F0"/>
          </w:tcPr>
          <w:p w14:paraId="4A059DA3" w14:textId="77777777" w:rsidR="003F66F9" w:rsidRPr="00BE1AD1" w:rsidRDefault="003F66F9" w:rsidP="0089630A">
            <w:pPr>
              <w:pStyle w:val="TableParagraph"/>
              <w:spacing w:line="247" w:lineRule="auto"/>
              <w:ind w:left="104" w:right="178"/>
              <w:rPr>
                <w:rFonts w:ascii="Helvetica" w:hAnsi="Helvetica"/>
                <w:sz w:val="18"/>
                <w:szCs w:val="18"/>
              </w:rPr>
            </w:pPr>
          </w:p>
        </w:tc>
        <w:tc>
          <w:tcPr>
            <w:tcW w:w="9896" w:type="dxa"/>
            <w:tcBorders>
              <w:top w:val="single" w:sz="4" w:space="0" w:color="000000"/>
              <w:left w:val="single" w:sz="4" w:space="0" w:color="000000"/>
              <w:bottom w:val="single" w:sz="4" w:space="0" w:color="000000"/>
              <w:right w:val="single" w:sz="4" w:space="0" w:color="000000"/>
            </w:tcBorders>
            <w:shd w:val="clear" w:color="auto" w:fill="auto"/>
          </w:tcPr>
          <w:p w14:paraId="547D55F9" w14:textId="62C26D7A" w:rsidR="003F66F9" w:rsidRPr="003F66F9" w:rsidRDefault="003F66F9" w:rsidP="0089630A">
            <w:pPr>
              <w:rPr>
                <w:rFonts w:ascii="Helvetica" w:hAnsi="Helvetica"/>
                <w:sz w:val="18"/>
                <w:szCs w:val="18"/>
              </w:rPr>
            </w:pPr>
            <w:r w:rsidRPr="00567FAE">
              <w:rPr>
                <w:rFonts w:ascii="Helvetica" w:hAnsi="Helvetica"/>
                <w:sz w:val="18"/>
                <w:szCs w:val="18"/>
              </w:rPr>
              <w:t xml:space="preserve">Percent of </w:t>
            </w:r>
            <w:r w:rsidRPr="00867FA7">
              <w:rPr>
                <w:rFonts w:ascii="Helvetica" w:hAnsi="Helvetica"/>
                <w:sz w:val="18"/>
                <w:szCs w:val="18"/>
                <w:highlight w:val="yellow"/>
              </w:rPr>
              <w:t>federal standards</w:t>
            </w:r>
            <w:r w:rsidRPr="00567FAE">
              <w:rPr>
                <w:rFonts w:ascii="Helvetica" w:hAnsi="Helvetica"/>
                <w:sz w:val="18"/>
                <w:szCs w:val="18"/>
              </w:rPr>
              <w:t xml:space="preserve"> adopted for which a utility advocated (# IOU supported/ # DOE adopted)</w:t>
            </w:r>
          </w:p>
        </w:tc>
      </w:tr>
      <w:tr w:rsidR="0012350B" w:rsidRPr="00BE1AD1" w14:paraId="368B6271" w14:textId="77777777" w:rsidTr="00F0781E">
        <w:tc>
          <w:tcPr>
            <w:tcW w:w="3056" w:type="dxa"/>
            <w:tcBorders>
              <w:left w:val="single" w:sz="4" w:space="0" w:color="000000"/>
              <w:right w:val="single" w:sz="4" w:space="0" w:color="000000"/>
            </w:tcBorders>
            <w:shd w:val="clear" w:color="auto" w:fill="DBE4F0"/>
          </w:tcPr>
          <w:p w14:paraId="27C44EEE" w14:textId="58DA0206" w:rsidR="0012350B" w:rsidRPr="00BE1AD1" w:rsidRDefault="0012350B" w:rsidP="0089630A">
            <w:pPr>
              <w:pStyle w:val="TableParagraph"/>
              <w:spacing w:line="247" w:lineRule="auto"/>
              <w:ind w:left="104" w:right="178"/>
              <w:rPr>
                <w:rFonts w:ascii="Helvetica" w:hAnsi="Helvetica"/>
                <w:sz w:val="18"/>
                <w:szCs w:val="18"/>
              </w:rPr>
            </w:pPr>
            <w:r w:rsidRPr="00BE1AD1">
              <w:rPr>
                <w:rFonts w:ascii="Helvetica" w:hAnsi="Helvetica"/>
                <w:sz w:val="18"/>
                <w:szCs w:val="18"/>
              </w:rPr>
              <w:lastRenderedPageBreak/>
              <w:t>Compliance Improvement (For IOUs)</w:t>
            </w:r>
          </w:p>
        </w:tc>
        <w:tc>
          <w:tcPr>
            <w:tcW w:w="9896" w:type="dxa"/>
            <w:tcBorders>
              <w:top w:val="single" w:sz="4" w:space="0" w:color="000000"/>
              <w:left w:val="single" w:sz="4" w:space="0" w:color="000000"/>
              <w:bottom w:val="single" w:sz="4" w:space="0" w:color="000000"/>
              <w:right w:val="single" w:sz="4" w:space="0" w:color="000000"/>
            </w:tcBorders>
            <w:shd w:val="clear" w:color="auto" w:fill="auto"/>
          </w:tcPr>
          <w:p w14:paraId="02AD3CA6" w14:textId="77777777" w:rsidR="0012350B" w:rsidRPr="00867FA7" w:rsidRDefault="0012350B" w:rsidP="0089630A">
            <w:pPr>
              <w:rPr>
                <w:rFonts w:ascii="Helvetica" w:hAnsi="Helvetica"/>
                <w:sz w:val="18"/>
                <w:szCs w:val="18"/>
                <w:highlight w:val="yellow"/>
              </w:rPr>
            </w:pPr>
            <w:r w:rsidRPr="00867FA7">
              <w:rPr>
                <w:rFonts w:ascii="Helvetica" w:hAnsi="Helvetica"/>
                <w:sz w:val="18"/>
                <w:szCs w:val="18"/>
                <w:highlight w:val="yellow"/>
              </w:rPr>
              <w:t>Number of training activities (classes, webinars) held, number of market actors participants by segment (e.g., building officials, builders, architects, etc.) and the total size (number) of the target audience by sector.</w:t>
            </w:r>
          </w:p>
          <w:p w14:paraId="4AFC60AE" w14:textId="77777777" w:rsidR="0012350B" w:rsidRPr="00867FA7" w:rsidRDefault="0012350B" w:rsidP="0089630A">
            <w:pPr>
              <w:rPr>
                <w:rFonts w:ascii="Helvetica" w:hAnsi="Helvetica"/>
                <w:sz w:val="18"/>
                <w:szCs w:val="18"/>
                <w:highlight w:val="yellow"/>
              </w:rPr>
            </w:pPr>
          </w:p>
          <w:p w14:paraId="4F15CBC7" w14:textId="77777777" w:rsidR="0012350B" w:rsidRPr="00BE1AD1" w:rsidRDefault="0012350B" w:rsidP="0089630A">
            <w:pPr>
              <w:rPr>
                <w:rFonts w:ascii="Helvetica" w:hAnsi="Helvetica"/>
                <w:sz w:val="18"/>
                <w:szCs w:val="18"/>
              </w:rPr>
            </w:pPr>
            <w:r w:rsidRPr="00BF2B39">
              <w:rPr>
                <w:rFonts w:ascii="Helvetica" w:hAnsi="Helvetica"/>
                <w:sz w:val="18"/>
                <w:szCs w:val="18"/>
              </w:rPr>
              <w:t>Increase in code compliance knowledge pre/post training.</w:t>
            </w:r>
          </w:p>
          <w:p w14:paraId="0804ADC7" w14:textId="77777777" w:rsidR="0012350B" w:rsidRPr="00BE1AD1" w:rsidRDefault="0012350B" w:rsidP="0089630A">
            <w:pPr>
              <w:rPr>
                <w:rFonts w:ascii="Helvetica" w:hAnsi="Helvetica"/>
                <w:sz w:val="18"/>
                <w:szCs w:val="18"/>
              </w:rPr>
            </w:pPr>
          </w:p>
        </w:tc>
      </w:tr>
      <w:tr w:rsidR="0012350B" w:rsidRPr="00BE1AD1" w14:paraId="638DB5E9" w14:textId="77777777" w:rsidTr="001514EF">
        <w:tc>
          <w:tcPr>
            <w:tcW w:w="3056" w:type="dxa"/>
            <w:tcBorders>
              <w:left w:val="single" w:sz="4" w:space="0" w:color="000000"/>
              <w:right w:val="single" w:sz="4" w:space="0" w:color="000000"/>
            </w:tcBorders>
            <w:shd w:val="clear" w:color="auto" w:fill="DBE4F0"/>
          </w:tcPr>
          <w:p w14:paraId="0AA084DF" w14:textId="4239FDDA" w:rsidR="0012350B" w:rsidRPr="00BE1AD1" w:rsidRDefault="0012350B" w:rsidP="0089630A">
            <w:pPr>
              <w:pStyle w:val="TableParagraph"/>
              <w:spacing w:line="247" w:lineRule="auto"/>
              <w:ind w:left="104" w:right="178"/>
              <w:rPr>
                <w:rFonts w:ascii="Helvetica" w:hAnsi="Helvetica"/>
                <w:sz w:val="18"/>
                <w:szCs w:val="18"/>
              </w:rPr>
            </w:pPr>
            <w:r w:rsidRPr="00BE1AD1">
              <w:rPr>
                <w:rFonts w:ascii="Helvetica" w:hAnsi="Helvetica"/>
                <w:sz w:val="18"/>
                <w:szCs w:val="18"/>
              </w:rPr>
              <w:t>Compliance Improvement (for RENs)</w:t>
            </w:r>
          </w:p>
        </w:tc>
        <w:tc>
          <w:tcPr>
            <w:tcW w:w="98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56555C3" w14:textId="77777777" w:rsidR="0012350B" w:rsidRPr="00867FA7" w:rsidRDefault="0012350B" w:rsidP="0089630A">
            <w:pPr>
              <w:rPr>
                <w:rFonts w:ascii="Helvetica" w:hAnsi="Helvetica"/>
                <w:sz w:val="18"/>
                <w:szCs w:val="18"/>
                <w:highlight w:val="yellow"/>
              </w:rPr>
            </w:pPr>
            <w:r w:rsidRPr="00867FA7">
              <w:rPr>
                <w:rFonts w:ascii="Helvetica" w:hAnsi="Helvetica"/>
                <w:sz w:val="18"/>
                <w:szCs w:val="18"/>
                <w:highlight w:val="yellow"/>
              </w:rPr>
              <w:t>For the RENs:</w:t>
            </w:r>
          </w:p>
          <w:p w14:paraId="1B97BAD0" w14:textId="77777777" w:rsidR="0012350B" w:rsidRPr="00867FA7" w:rsidRDefault="0012350B" w:rsidP="0089630A">
            <w:pPr>
              <w:rPr>
                <w:rFonts w:ascii="Helvetica" w:hAnsi="Helvetica"/>
                <w:sz w:val="18"/>
                <w:szCs w:val="18"/>
                <w:highlight w:val="yellow"/>
              </w:rPr>
            </w:pPr>
            <w:r w:rsidRPr="00867FA7">
              <w:rPr>
                <w:rFonts w:ascii="Helvetica" w:hAnsi="Helvetica"/>
                <w:sz w:val="18"/>
                <w:szCs w:val="18"/>
                <w:highlight w:val="yellow"/>
              </w:rPr>
              <w:t>The percentage increase in closed permits for building projects triggering energy code compliance within participating jurisdictions</w:t>
            </w:r>
          </w:p>
          <w:p w14:paraId="4FAD2419" w14:textId="77777777" w:rsidR="0012350B" w:rsidRPr="00867FA7" w:rsidRDefault="0012350B" w:rsidP="0089630A">
            <w:pPr>
              <w:rPr>
                <w:rFonts w:ascii="Helvetica" w:hAnsi="Helvetica"/>
                <w:sz w:val="18"/>
                <w:szCs w:val="18"/>
                <w:highlight w:val="yellow"/>
              </w:rPr>
            </w:pPr>
          </w:p>
          <w:p w14:paraId="63B68463" w14:textId="77777777" w:rsidR="0012350B" w:rsidRPr="00867FA7" w:rsidRDefault="0012350B" w:rsidP="0089630A">
            <w:pPr>
              <w:rPr>
                <w:rFonts w:ascii="Helvetica" w:hAnsi="Helvetica"/>
                <w:sz w:val="18"/>
                <w:szCs w:val="18"/>
                <w:highlight w:val="yellow"/>
              </w:rPr>
            </w:pPr>
            <w:r w:rsidRPr="00867FA7">
              <w:rPr>
                <w:rFonts w:ascii="Helvetica" w:hAnsi="Helvetica"/>
                <w:sz w:val="18"/>
                <w:szCs w:val="18"/>
                <w:highlight w:val="yellow"/>
              </w:rPr>
              <w:t>[Indicator] Also for RENs:</w:t>
            </w:r>
          </w:p>
          <w:p w14:paraId="6C01BD80" w14:textId="77777777" w:rsidR="0012350B" w:rsidRPr="00867FA7" w:rsidRDefault="0012350B" w:rsidP="0089630A">
            <w:pPr>
              <w:rPr>
                <w:rFonts w:ascii="Helvetica" w:hAnsi="Helvetica"/>
                <w:color w:val="0070C0"/>
                <w:sz w:val="18"/>
                <w:szCs w:val="18"/>
                <w:highlight w:val="yellow"/>
              </w:rPr>
            </w:pPr>
            <w:r w:rsidRPr="00867FA7">
              <w:rPr>
                <w:rFonts w:ascii="Helvetica" w:hAnsi="Helvetica"/>
                <w:color w:val="0070C0"/>
                <w:sz w:val="18"/>
                <w:szCs w:val="18"/>
                <w:highlight w:val="yellow"/>
              </w:rPr>
              <w:t>Number and percent of jurisdictions with staff participating in an Energy Policy Forum</w:t>
            </w:r>
          </w:p>
          <w:p w14:paraId="19CFDB27" w14:textId="77777777" w:rsidR="0012350B" w:rsidRPr="00867FA7" w:rsidRDefault="0012350B" w:rsidP="0089630A">
            <w:pPr>
              <w:rPr>
                <w:rFonts w:ascii="Helvetica" w:hAnsi="Helvetica"/>
                <w:color w:val="0070C0"/>
                <w:sz w:val="18"/>
                <w:szCs w:val="18"/>
                <w:highlight w:val="yellow"/>
              </w:rPr>
            </w:pPr>
          </w:p>
          <w:p w14:paraId="56172030" w14:textId="73B989A2" w:rsidR="0012350B" w:rsidRPr="00867FA7" w:rsidRDefault="0012350B" w:rsidP="0089630A">
            <w:pPr>
              <w:rPr>
                <w:rFonts w:ascii="Helvetica" w:hAnsi="Helvetica"/>
                <w:color w:val="0070C0"/>
                <w:sz w:val="18"/>
                <w:szCs w:val="18"/>
                <w:highlight w:val="yellow"/>
              </w:rPr>
            </w:pPr>
            <w:r w:rsidRPr="00867FA7">
              <w:rPr>
                <w:rFonts w:ascii="Helvetica" w:hAnsi="Helvetica"/>
                <w:color w:val="0070C0"/>
                <w:sz w:val="18"/>
                <w:szCs w:val="18"/>
                <w:highlight w:val="yellow"/>
              </w:rPr>
              <w:t>[Indicator] Number and percent of jurisdictions receiving Energy Policy technical assistance.</w:t>
            </w:r>
          </w:p>
          <w:p w14:paraId="503AB40B" w14:textId="77777777" w:rsidR="0012350B" w:rsidRPr="00867FA7" w:rsidRDefault="0012350B" w:rsidP="0089630A">
            <w:pPr>
              <w:rPr>
                <w:rFonts w:ascii="Helvetica" w:hAnsi="Helvetica"/>
                <w:color w:val="0070C0"/>
                <w:sz w:val="18"/>
                <w:szCs w:val="18"/>
                <w:highlight w:val="yellow"/>
              </w:rPr>
            </w:pPr>
          </w:p>
          <w:p w14:paraId="7719E555" w14:textId="6BD30E5A" w:rsidR="0012350B" w:rsidRPr="00867FA7" w:rsidRDefault="0012350B" w:rsidP="0089630A">
            <w:pPr>
              <w:rPr>
                <w:rFonts w:ascii="Helvetica" w:hAnsi="Helvetica"/>
                <w:color w:val="0070C0"/>
                <w:sz w:val="18"/>
                <w:szCs w:val="18"/>
                <w:highlight w:val="yellow"/>
              </w:rPr>
            </w:pPr>
            <w:r w:rsidRPr="00867FA7">
              <w:rPr>
                <w:rFonts w:ascii="Helvetica" w:hAnsi="Helvetica"/>
                <w:color w:val="0070C0"/>
                <w:sz w:val="18"/>
                <w:szCs w:val="18"/>
                <w:highlight w:val="yellow"/>
              </w:rPr>
              <w:t>[Indicator] Buildings receiving enhanced code compliance support and delivering compliance data to program evaluators</w:t>
            </w:r>
          </w:p>
          <w:p w14:paraId="2A42E667" w14:textId="61B479EE" w:rsidR="0012350B" w:rsidRPr="00867FA7" w:rsidRDefault="0012350B" w:rsidP="0089630A">
            <w:pPr>
              <w:rPr>
                <w:rFonts w:ascii="Helvetica" w:hAnsi="Helvetica"/>
                <w:sz w:val="18"/>
                <w:szCs w:val="18"/>
                <w:highlight w:val="yellow"/>
              </w:rPr>
            </w:pPr>
          </w:p>
        </w:tc>
      </w:tr>
    </w:tbl>
    <w:p w14:paraId="6375933A" w14:textId="77777777" w:rsidR="006316EC" w:rsidRPr="00BE1AD1" w:rsidRDefault="006316EC" w:rsidP="0089630A">
      <w:pPr>
        <w:pStyle w:val="BodyText"/>
        <w:spacing w:before="2"/>
        <w:rPr>
          <w:rFonts w:ascii="Helvetica" w:hAnsi="Helvetica"/>
          <w:b/>
          <w:sz w:val="18"/>
          <w:szCs w:val="18"/>
        </w:rPr>
      </w:pPr>
    </w:p>
    <w:p w14:paraId="309E119B" w14:textId="77777777" w:rsidR="006316EC" w:rsidRPr="00BE1AD1" w:rsidRDefault="006316EC" w:rsidP="007A05AD">
      <w:pPr>
        <w:spacing w:before="134"/>
        <w:ind w:left="220"/>
        <w:outlineLvl w:val="0"/>
        <w:rPr>
          <w:rFonts w:ascii="Helvetica" w:hAnsi="Helvetica"/>
          <w:b/>
          <w:sz w:val="18"/>
          <w:szCs w:val="18"/>
        </w:rPr>
      </w:pPr>
      <w:r w:rsidRPr="00BE1AD1">
        <w:rPr>
          <w:rFonts w:ascii="Helvetica" w:hAnsi="Helvetica"/>
          <w:b/>
          <w:sz w:val="18"/>
          <w:szCs w:val="18"/>
        </w:rPr>
        <w:t>Emerging Technologies (ET) Program</w:t>
      </w:r>
    </w:p>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0" w:type="dxa"/>
          <w:right w:w="0" w:type="dxa"/>
        </w:tblCellMar>
        <w:tblLook w:val="01E0" w:firstRow="1" w:lastRow="1" w:firstColumn="1" w:lastColumn="1" w:noHBand="0" w:noVBand="0"/>
      </w:tblPr>
      <w:tblGrid>
        <w:gridCol w:w="3056"/>
        <w:gridCol w:w="9896"/>
      </w:tblGrid>
      <w:tr w:rsidR="00AF697B" w:rsidRPr="00BE1AD1" w14:paraId="706482EB" w14:textId="02400C89" w:rsidTr="009B2638">
        <w:tc>
          <w:tcPr>
            <w:tcW w:w="3056" w:type="dxa"/>
            <w:shd w:val="clear" w:color="auto" w:fill="DBE4F0"/>
          </w:tcPr>
          <w:p w14:paraId="3B16329D" w14:textId="77777777" w:rsidR="0012350B" w:rsidRPr="00BE1AD1" w:rsidRDefault="0012350B" w:rsidP="0089630A">
            <w:pPr>
              <w:pStyle w:val="TableParagraph"/>
              <w:spacing w:before="64"/>
              <w:ind w:left="104"/>
              <w:rPr>
                <w:rFonts w:ascii="Helvetica" w:hAnsi="Helvetica"/>
                <w:b/>
                <w:sz w:val="18"/>
                <w:szCs w:val="18"/>
              </w:rPr>
            </w:pPr>
            <w:r w:rsidRPr="00BE1AD1">
              <w:rPr>
                <w:rFonts w:ascii="Helvetica" w:hAnsi="Helvetica"/>
                <w:b/>
                <w:sz w:val="18"/>
                <w:szCs w:val="18"/>
              </w:rPr>
              <w:t>Common Problem</w:t>
            </w:r>
          </w:p>
        </w:tc>
        <w:tc>
          <w:tcPr>
            <w:tcW w:w="9896" w:type="dxa"/>
            <w:tcBorders>
              <w:bottom w:val="single" w:sz="4" w:space="0" w:color="000000"/>
            </w:tcBorders>
          </w:tcPr>
          <w:p w14:paraId="6E2D97D8" w14:textId="77777777" w:rsidR="0012350B" w:rsidRPr="00BE1AD1" w:rsidRDefault="0012350B" w:rsidP="0089630A">
            <w:pPr>
              <w:pStyle w:val="TableParagraph"/>
              <w:spacing w:before="64"/>
              <w:rPr>
                <w:rFonts w:ascii="Helvetica" w:hAnsi="Helvetica"/>
                <w:b/>
                <w:sz w:val="18"/>
                <w:szCs w:val="18"/>
              </w:rPr>
            </w:pPr>
          </w:p>
        </w:tc>
      </w:tr>
      <w:tr w:rsidR="00AF697B" w:rsidRPr="00BE1AD1" w14:paraId="30432D64" w14:textId="77777777" w:rsidTr="009B2638">
        <w:tc>
          <w:tcPr>
            <w:tcW w:w="3056" w:type="dxa"/>
            <w:tcBorders>
              <w:right w:val="single" w:sz="4" w:space="0" w:color="000000"/>
            </w:tcBorders>
            <w:shd w:val="clear" w:color="auto" w:fill="DBE4F0"/>
          </w:tcPr>
          <w:p w14:paraId="273E6958" w14:textId="26ADA111" w:rsidR="0012350B" w:rsidRPr="00BE1AD1" w:rsidRDefault="0012350B" w:rsidP="0089630A">
            <w:pPr>
              <w:rPr>
                <w:rFonts w:ascii="Helvetica" w:hAnsi="Helvetica"/>
                <w:sz w:val="18"/>
                <w:szCs w:val="18"/>
              </w:rPr>
            </w:pPr>
            <w:r w:rsidRPr="00BE1AD1">
              <w:rPr>
                <w:rFonts w:ascii="Helvetica" w:hAnsi="Helvetica"/>
                <w:sz w:val="18"/>
                <w:szCs w:val="18"/>
              </w:rPr>
              <w:t>Need to track Technology Priority</w:t>
            </w:r>
          </w:p>
          <w:p w14:paraId="087A2F89" w14:textId="65394ACA" w:rsidR="0012350B" w:rsidRPr="00BE1AD1" w:rsidRDefault="0012350B" w:rsidP="0089630A">
            <w:pPr>
              <w:rPr>
                <w:rFonts w:ascii="Helvetica" w:hAnsi="Helvetica"/>
                <w:sz w:val="18"/>
                <w:szCs w:val="18"/>
              </w:rPr>
            </w:pPr>
            <w:r w:rsidRPr="00BE1AD1">
              <w:rPr>
                <w:rFonts w:ascii="Helvetica" w:hAnsi="Helvetica"/>
                <w:sz w:val="18"/>
                <w:szCs w:val="18"/>
              </w:rPr>
              <w:t>Map (TPM) development</w:t>
            </w:r>
          </w:p>
          <w:p w14:paraId="5786D529" w14:textId="77777777" w:rsidR="0012350B" w:rsidRPr="00BE1AD1" w:rsidRDefault="0012350B" w:rsidP="0089630A">
            <w:pPr>
              <w:pStyle w:val="TableParagraph"/>
              <w:spacing w:before="0"/>
              <w:ind w:left="0"/>
              <w:rPr>
                <w:rFonts w:ascii="Helvetica" w:hAnsi="Helvetica"/>
                <w:b/>
                <w:sz w:val="18"/>
                <w:szCs w:val="18"/>
              </w:rPr>
            </w:pPr>
          </w:p>
        </w:tc>
        <w:tc>
          <w:tcPr>
            <w:tcW w:w="98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891D8B0" w14:textId="77777777" w:rsidR="0012350B" w:rsidRPr="00867FA7" w:rsidRDefault="0012350B" w:rsidP="0089630A">
            <w:pPr>
              <w:rPr>
                <w:rFonts w:ascii="Helvetica" w:hAnsi="Helvetica"/>
                <w:sz w:val="18"/>
                <w:szCs w:val="18"/>
                <w:highlight w:val="yellow"/>
              </w:rPr>
            </w:pPr>
            <w:r w:rsidRPr="00BE1AD1">
              <w:rPr>
                <w:rFonts w:ascii="Helvetica" w:hAnsi="Helvetica"/>
                <w:sz w:val="18"/>
                <w:szCs w:val="18"/>
              </w:rPr>
              <w:t xml:space="preserve">ETP-M1: </w:t>
            </w:r>
            <w:r w:rsidRPr="00867FA7">
              <w:rPr>
                <w:rFonts w:ascii="Helvetica" w:hAnsi="Helvetica"/>
                <w:sz w:val="18"/>
                <w:szCs w:val="18"/>
                <w:highlight w:val="yellow"/>
              </w:rPr>
              <w:t>6*</w:t>
            </w:r>
            <w:r w:rsidRPr="00BE1AD1">
              <w:rPr>
                <w:rFonts w:ascii="Helvetica" w:hAnsi="Helvetica"/>
                <w:sz w:val="18"/>
                <w:szCs w:val="18"/>
              </w:rPr>
              <w:t xml:space="preserve"> TPMs (gas and electric combined) initiated </w:t>
            </w:r>
            <w:r w:rsidRPr="00867FA7">
              <w:rPr>
                <w:rFonts w:ascii="Helvetica" w:hAnsi="Helvetica"/>
                <w:sz w:val="18"/>
                <w:szCs w:val="18"/>
                <w:highlight w:val="yellow"/>
              </w:rPr>
              <w:t>within the first 3 years (including 1 Technology-focused Pilot TPM identifying market barriers for a diverse range of high-impact technologies through studies, and subsequently breaking down identified barriers via cooperative projects initiated in coordination with WE&amp;T, ME&amp;O, and other relevant IOU programs)</w:t>
            </w:r>
          </w:p>
          <w:p w14:paraId="1E32C350" w14:textId="77777777" w:rsidR="0012350B" w:rsidRPr="00BE1AD1" w:rsidRDefault="0012350B" w:rsidP="0089630A">
            <w:pPr>
              <w:rPr>
                <w:rFonts w:ascii="Helvetica" w:hAnsi="Helvetica"/>
                <w:sz w:val="18"/>
                <w:szCs w:val="18"/>
              </w:rPr>
            </w:pPr>
            <w:r w:rsidRPr="00867FA7">
              <w:rPr>
                <w:rFonts w:ascii="Helvetica" w:hAnsi="Helvetica"/>
                <w:sz w:val="18"/>
                <w:szCs w:val="18"/>
                <w:highlight w:val="yellow"/>
              </w:rPr>
              <w:t>* This number will be updated once all third party contracts have been awarded.</w:t>
            </w:r>
          </w:p>
          <w:p w14:paraId="714647F3" w14:textId="77777777" w:rsidR="0012350B" w:rsidRPr="00BE1AD1" w:rsidRDefault="0012350B" w:rsidP="0089630A">
            <w:pPr>
              <w:pStyle w:val="TableParagraph"/>
              <w:spacing w:before="69" w:line="247" w:lineRule="auto"/>
              <w:ind w:right="214"/>
              <w:rPr>
                <w:rFonts w:ascii="Helvetica" w:hAnsi="Helvetica"/>
                <w:sz w:val="18"/>
                <w:szCs w:val="18"/>
              </w:rPr>
            </w:pPr>
          </w:p>
        </w:tc>
      </w:tr>
      <w:tr w:rsidR="00AF697B" w:rsidRPr="00BE1AD1" w14:paraId="5FBEC361" w14:textId="77777777" w:rsidTr="009B2638">
        <w:tc>
          <w:tcPr>
            <w:tcW w:w="3056" w:type="dxa"/>
            <w:tcBorders>
              <w:right w:val="single" w:sz="4" w:space="0" w:color="000000"/>
            </w:tcBorders>
            <w:shd w:val="clear" w:color="auto" w:fill="DBE4F0"/>
          </w:tcPr>
          <w:p w14:paraId="16A3A861" w14:textId="77777777" w:rsidR="0012350B" w:rsidRPr="00BE1AD1" w:rsidRDefault="0012350B" w:rsidP="0089630A">
            <w:pPr>
              <w:pStyle w:val="TableParagraph"/>
              <w:spacing w:before="2" w:line="237" w:lineRule="auto"/>
              <w:ind w:right="497"/>
              <w:rPr>
                <w:rFonts w:ascii="Helvetica" w:hAnsi="Helvetica"/>
                <w:sz w:val="18"/>
                <w:szCs w:val="18"/>
              </w:rPr>
            </w:pPr>
            <w:r w:rsidRPr="00BE1AD1">
              <w:rPr>
                <w:rFonts w:ascii="Helvetica" w:hAnsi="Helvetica"/>
                <w:sz w:val="18"/>
                <w:szCs w:val="18"/>
              </w:rPr>
              <w:t>Need to track TPM</w:t>
            </w:r>
          </w:p>
          <w:p w14:paraId="1693D658" w14:textId="1F7F4D8F" w:rsidR="0012350B" w:rsidRPr="00BE1AD1" w:rsidRDefault="0012350B" w:rsidP="0089630A">
            <w:pPr>
              <w:rPr>
                <w:rFonts w:ascii="Helvetica" w:hAnsi="Helvetica"/>
                <w:sz w:val="18"/>
                <w:szCs w:val="18"/>
              </w:rPr>
            </w:pPr>
            <w:r w:rsidRPr="00BE1AD1">
              <w:rPr>
                <w:rFonts w:ascii="Helvetica" w:hAnsi="Helvetica"/>
                <w:sz w:val="18"/>
                <w:szCs w:val="18"/>
              </w:rPr>
              <w:t>updating activity</w:t>
            </w:r>
          </w:p>
        </w:tc>
        <w:tc>
          <w:tcPr>
            <w:tcW w:w="98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7C9473D" w14:textId="34672E83" w:rsidR="0012350B" w:rsidRPr="00BE1AD1" w:rsidRDefault="0012350B" w:rsidP="0089630A">
            <w:pPr>
              <w:rPr>
                <w:rFonts w:ascii="Helvetica" w:hAnsi="Helvetica"/>
                <w:sz w:val="18"/>
                <w:szCs w:val="18"/>
              </w:rPr>
            </w:pPr>
            <w:r w:rsidRPr="00BE1AD1">
              <w:rPr>
                <w:rFonts w:ascii="Helvetica" w:hAnsi="Helvetica"/>
                <w:sz w:val="18"/>
                <w:szCs w:val="18"/>
              </w:rPr>
              <w:t xml:space="preserve">ETP-M2: </w:t>
            </w:r>
            <w:r w:rsidRPr="00867FA7">
              <w:rPr>
                <w:rFonts w:ascii="Helvetica" w:hAnsi="Helvetica"/>
                <w:sz w:val="18"/>
                <w:szCs w:val="18"/>
                <w:highlight w:val="yellow"/>
              </w:rPr>
              <w:t>3</w:t>
            </w:r>
            <w:r w:rsidRPr="00BE1AD1">
              <w:rPr>
                <w:rFonts w:ascii="Helvetica" w:hAnsi="Helvetica"/>
                <w:sz w:val="18"/>
                <w:szCs w:val="18"/>
              </w:rPr>
              <w:t xml:space="preserve"> TPMs updated </w:t>
            </w:r>
            <w:r w:rsidRPr="00867FA7">
              <w:rPr>
                <w:rFonts w:ascii="Helvetica" w:hAnsi="Helvetica"/>
                <w:sz w:val="18"/>
                <w:szCs w:val="18"/>
                <w:highlight w:val="yellow"/>
              </w:rPr>
              <w:t>within the first 3 years</w:t>
            </w:r>
          </w:p>
        </w:tc>
      </w:tr>
      <w:tr w:rsidR="00AF697B" w:rsidRPr="00BE1AD1" w14:paraId="1706012D" w14:textId="77777777" w:rsidTr="009B2638">
        <w:tc>
          <w:tcPr>
            <w:tcW w:w="3056" w:type="dxa"/>
            <w:tcBorders>
              <w:right w:val="single" w:sz="4" w:space="0" w:color="000000"/>
            </w:tcBorders>
            <w:shd w:val="clear" w:color="auto" w:fill="DBE4F0"/>
          </w:tcPr>
          <w:p w14:paraId="3CD64F06" w14:textId="3CF8D6B7" w:rsidR="0012350B" w:rsidRPr="00BE1AD1" w:rsidRDefault="0012350B" w:rsidP="0089630A">
            <w:pPr>
              <w:rPr>
                <w:rFonts w:ascii="Helvetica" w:hAnsi="Helvetica"/>
                <w:sz w:val="18"/>
                <w:szCs w:val="18"/>
              </w:rPr>
            </w:pPr>
            <w:r w:rsidRPr="00BE1AD1">
              <w:rPr>
                <w:rFonts w:ascii="Helvetica" w:hAnsi="Helvetica"/>
                <w:sz w:val="18"/>
                <w:szCs w:val="18"/>
              </w:rPr>
              <w:t>Need to project activity [sic]</w:t>
            </w:r>
          </w:p>
        </w:tc>
        <w:tc>
          <w:tcPr>
            <w:tcW w:w="98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0070383" w14:textId="77777777" w:rsidR="0012350B" w:rsidRPr="00BE1AD1" w:rsidRDefault="0012350B" w:rsidP="0089630A">
            <w:pPr>
              <w:pStyle w:val="TableParagraph"/>
              <w:spacing w:before="7"/>
              <w:ind w:left="8"/>
              <w:rPr>
                <w:rFonts w:ascii="Helvetica" w:hAnsi="Helvetica"/>
                <w:sz w:val="18"/>
                <w:szCs w:val="18"/>
              </w:rPr>
            </w:pPr>
            <w:r w:rsidRPr="00BE1AD1">
              <w:rPr>
                <w:rFonts w:ascii="Helvetica" w:hAnsi="Helvetica"/>
                <w:sz w:val="18"/>
                <w:szCs w:val="18"/>
              </w:rPr>
              <w:t xml:space="preserve">ETP-M3: </w:t>
            </w:r>
            <w:r w:rsidRPr="00867FA7">
              <w:rPr>
                <w:rFonts w:ascii="Helvetica" w:hAnsi="Helvetica"/>
                <w:sz w:val="18"/>
                <w:szCs w:val="18"/>
                <w:highlight w:val="yellow"/>
              </w:rPr>
              <w:t>183*</w:t>
            </w:r>
            <w:r w:rsidRPr="00BE1AD1">
              <w:rPr>
                <w:rFonts w:ascii="Helvetica" w:hAnsi="Helvetica"/>
                <w:sz w:val="18"/>
                <w:szCs w:val="18"/>
              </w:rPr>
              <w:t xml:space="preserve"> projects initiated </w:t>
            </w:r>
            <w:r w:rsidRPr="00867FA7">
              <w:rPr>
                <w:rFonts w:ascii="Helvetica" w:hAnsi="Helvetica"/>
                <w:sz w:val="18"/>
                <w:szCs w:val="18"/>
                <w:highlight w:val="yellow"/>
              </w:rPr>
              <w:t>within the first 3 years</w:t>
            </w:r>
          </w:p>
          <w:p w14:paraId="081E9641" w14:textId="77777777" w:rsidR="0012350B" w:rsidRPr="00BE1AD1" w:rsidRDefault="0012350B" w:rsidP="0089630A">
            <w:pPr>
              <w:pStyle w:val="TableParagraph"/>
              <w:spacing w:before="11"/>
              <w:ind w:left="0"/>
              <w:rPr>
                <w:rFonts w:ascii="Helvetica" w:hAnsi="Helvetica"/>
                <w:sz w:val="18"/>
                <w:szCs w:val="18"/>
              </w:rPr>
            </w:pPr>
          </w:p>
          <w:p w14:paraId="66B05DA9" w14:textId="1876F10A" w:rsidR="0012350B" w:rsidRPr="00BE1AD1" w:rsidRDefault="0012350B" w:rsidP="0089630A">
            <w:pPr>
              <w:rPr>
                <w:rFonts w:ascii="Helvetica" w:hAnsi="Helvetica"/>
                <w:sz w:val="18"/>
                <w:szCs w:val="18"/>
              </w:rPr>
            </w:pPr>
            <w:r w:rsidRPr="00867FA7">
              <w:rPr>
                <w:rFonts w:ascii="Helvetica" w:hAnsi="Helvetica"/>
                <w:sz w:val="18"/>
                <w:szCs w:val="18"/>
                <w:highlight w:val="yellow"/>
              </w:rPr>
              <w:t xml:space="preserve">*This averages 61 projects per year; this number will </w:t>
            </w:r>
            <w:r w:rsidRPr="00867FA7">
              <w:rPr>
                <w:rFonts w:ascii="Helvetica" w:hAnsi="Helvetica"/>
                <w:position w:val="1"/>
                <w:sz w:val="18"/>
                <w:szCs w:val="18"/>
                <w:highlight w:val="yellow"/>
              </w:rPr>
              <w:t xml:space="preserve">be updated </w:t>
            </w:r>
            <w:r w:rsidRPr="00867FA7">
              <w:rPr>
                <w:rFonts w:ascii="Helvetica" w:hAnsi="Helvetica"/>
                <w:sz w:val="18"/>
                <w:szCs w:val="18"/>
                <w:highlight w:val="yellow"/>
              </w:rPr>
              <w:t>once all third party contracts have been awarded.</w:t>
            </w:r>
          </w:p>
        </w:tc>
      </w:tr>
      <w:tr w:rsidR="00AF697B" w:rsidRPr="00BE1AD1" w14:paraId="1F1735B9" w14:textId="77777777" w:rsidTr="009B2638">
        <w:tc>
          <w:tcPr>
            <w:tcW w:w="3056" w:type="dxa"/>
            <w:tcBorders>
              <w:right w:val="single" w:sz="4" w:space="0" w:color="000000"/>
            </w:tcBorders>
            <w:shd w:val="clear" w:color="auto" w:fill="DBE4F0"/>
          </w:tcPr>
          <w:p w14:paraId="51FDB6E7" w14:textId="3E66B0D2" w:rsidR="0012350B" w:rsidRPr="00BE1AD1" w:rsidRDefault="0012350B" w:rsidP="0089630A">
            <w:pPr>
              <w:rPr>
                <w:rFonts w:ascii="Helvetica" w:hAnsi="Helvetica"/>
                <w:sz w:val="18"/>
                <w:szCs w:val="18"/>
              </w:rPr>
            </w:pPr>
            <w:r w:rsidRPr="00BE1AD1">
              <w:rPr>
                <w:rFonts w:ascii="Helvetica" w:hAnsi="Helvetica"/>
                <w:sz w:val="18"/>
                <w:szCs w:val="18"/>
              </w:rPr>
              <w:t>Need to track event activity</w:t>
            </w:r>
          </w:p>
        </w:tc>
        <w:tc>
          <w:tcPr>
            <w:tcW w:w="98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3F9BEBE" w14:textId="6B0EDD99" w:rsidR="0012350B" w:rsidRPr="00867FA7" w:rsidRDefault="0012350B" w:rsidP="0089630A">
            <w:pPr>
              <w:pStyle w:val="TableParagraph"/>
              <w:spacing w:before="7"/>
              <w:ind w:left="8"/>
              <w:rPr>
                <w:rFonts w:ascii="Helvetica" w:hAnsi="Helvetica"/>
                <w:sz w:val="18"/>
                <w:szCs w:val="18"/>
                <w:highlight w:val="yellow"/>
              </w:rPr>
            </w:pPr>
            <w:r w:rsidRPr="00867FA7">
              <w:rPr>
                <w:rFonts w:ascii="Helvetica" w:hAnsi="Helvetica"/>
                <w:sz w:val="18"/>
                <w:szCs w:val="18"/>
                <w:highlight w:val="yellow"/>
              </w:rPr>
              <w:t>ETP-M4: Host 15 outreach events with technology developers with products &lt;1 year from commercialization within the first 3 years, including new technology vendors, manufacturers, and entrepreneurs.</w:t>
            </w:r>
          </w:p>
        </w:tc>
      </w:tr>
      <w:tr w:rsidR="00AF697B" w:rsidRPr="00BE1AD1" w14:paraId="784ACE1D" w14:textId="77777777" w:rsidTr="009B2638">
        <w:tc>
          <w:tcPr>
            <w:tcW w:w="3056" w:type="dxa"/>
            <w:tcBorders>
              <w:right w:val="single" w:sz="4" w:space="0" w:color="000000"/>
            </w:tcBorders>
            <w:shd w:val="clear" w:color="auto" w:fill="DBE4F0"/>
          </w:tcPr>
          <w:p w14:paraId="2ED3D54D" w14:textId="7ADA0CE8" w:rsidR="0012350B" w:rsidRPr="00BE1AD1" w:rsidRDefault="0012350B" w:rsidP="0089630A">
            <w:pPr>
              <w:rPr>
                <w:rFonts w:ascii="Helvetica" w:hAnsi="Helvetica"/>
                <w:sz w:val="18"/>
                <w:szCs w:val="18"/>
              </w:rPr>
            </w:pPr>
            <w:r w:rsidRPr="00BE1AD1">
              <w:rPr>
                <w:rFonts w:ascii="Helvetica" w:hAnsi="Helvetica"/>
                <w:sz w:val="18"/>
                <w:szCs w:val="18"/>
              </w:rPr>
              <w:t>Need to track event activity</w:t>
            </w:r>
          </w:p>
        </w:tc>
        <w:tc>
          <w:tcPr>
            <w:tcW w:w="98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375C672" w14:textId="0FC35A2A" w:rsidR="0012350B" w:rsidRPr="00867FA7" w:rsidRDefault="0012350B" w:rsidP="0089630A">
            <w:pPr>
              <w:pStyle w:val="TableParagraph"/>
              <w:spacing w:before="7"/>
              <w:ind w:left="8"/>
              <w:rPr>
                <w:rFonts w:ascii="Helvetica" w:hAnsi="Helvetica"/>
                <w:sz w:val="18"/>
                <w:szCs w:val="18"/>
                <w:highlight w:val="yellow"/>
              </w:rPr>
            </w:pPr>
            <w:r w:rsidRPr="00867FA7">
              <w:rPr>
                <w:rFonts w:ascii="Helvetica" w:hAnsi="Helvetica"/>
                <w:sz w:val="18"/>
                <w:szCs w:val="18"/>
                <w:highlight w:val="yellow"/>
              </w:rPr>
              <w:t>ETP-M5: Host 6 outreach events with technology developers with products &lt;5 years from commercialization within the first 3 years, including new technology vendors, manufacturers, and entrepreneurs.</w:t>
            </w:r>
          </w:p>
        </w:tc>
      </w:tr>
      <w:tr w:rsidR="00AF697B" w:rsidRPr="00BE1AD1" w14:paraId="49F474D7" w14:textId="77777777" w:rsidTr="009B2638">
        <w:tc>
          <w:tcPr>
            <w:tcW w:w="3056" w:type="dxa"/>
            <w:tcBorders>
              <w:right w:val="single" w:sz="4" w:space="0" w:color="000000"/>
            </w:tcBorders>
            <w:shd w:val="clear" w:color="auto" w:fill="DBE4F0"/>
          </w:tcPr>
          <w:p w14:paraId="7F44BA96" w14:textId="77777777" w:rsidR="0012350B" w:rsidRPr="00BE1AD1" w:rsidRDefault="0012350B" w:rsidP="0089630A">
            <w:pPr>
              <w:rPr>
                <w:rFonts w:ascii="Helvetica" w:hAnsi="Helvetica"/>
                <w:sz w:val="18"/>
                <w:szCs w:val="18"/>
              </w:rPr>
            </w:pPr>
            <w:r w:rsidRPr="00BE1AD1">
              <w:rPr>
                <w:rFonts w:ascii="Helvetica" w:hAnsi="Helvetica"/>
                <w:sz w:val="18"/>
                <w:szCs w:val="18"/>
              </w:rPr>
              <w:t>Need to track Technology-focused Pilot (TFP) TPM efforts</w:t>
            </w:r>
          </w:p>
          <w:p w14:paraId="505F4D7F" w14:textId="77777777" w:rsidR="0012350B" w:rsidRPr="00BE1AD1" w:rsidRDefault="0012350B" w:rsidP="0089630A">
            <w:pPr>
              <w:rPr>
                <w:rFonts w:ascii="Helvetica" w:hAnsi="Helvetica"/>
                <w:sz w:val="18"/>
                <w:szCs w:val="18"/>
              </w:rPr>
            </w:pPr>
          </w:p>
        </w:tc>
        <w:tc>
          <w:tcPr>
            <w:tcW w:w="98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5DCC1DE" w14:textId="77777777" w:rsidR="0012350B" w:rsidRPr="00867FA7" w:rsidRDefault="0012350B" w:rsidP="0089630A">
            <w:pPr>
              <w:rPr>
                <w:rFonts w:ascii="Helvetica" w:hAnsi="Helvetica"/>
                <w:sz w:val="18"/>
                <w:szCs w:val="18"/>
                <w:highlight w:val="yellow"/>
              </w:rPr>
            </w:pPr>
            <w:r w:rsidRPr="00867FA7">
              <w:rPr>
                <w:rFonts w:ascii="Helvetica" w:hAnsi="Helvetica"/>
                <w:sz w:val="18"/>
                <w:szCs w:val="18"/>
                <w:highlight w:val="yellow"/>
              </w:rPr>
              <w:t>ETP-M7: 3* Technology-focused Pilots initiated as part of the TFP TPM within the first 3 years</w:t>
            </w:r>
          </w:p>
          <w:p w14:paraId="51060E9B" w14:textId="77777777" w:rsidR="0012350B" w:rsidRPr="00867FA7" w:rsidRDefault="0012350B" w:rsidP="0089630A">
            <w:pPr>
              <w:rPr>
                <w:rFonts w:ascii="Helvetica" w:hAnsi="Helvetica"/>
                <w:sz w:val="18"/>
                <w:szCs w:val="18"/>
                <w:highlight w:val="yellow"/>
              </w:rPr>
            </w:pPr>
          </w:p>
          <w:p w14:paraId="706B298C" w14:textId="77777777" w:rsidR="0012350B" w:rsidRPr="00867FA7" w:rsidRDefault="0012350B" w:rsidP="0089630A">
            <w:pPr>
              <w:rPr>
                <w:rFonts w:ascii="Helvetica" w:hAnsi="Helvetica"/>
                <w:sz w:val="18"/>
                <w:szCs w:val="18"/>
                <w:highlight w:val="yellow"/>
              </w:rPr>
            </w:pPr>
            <w:r w:rsidRPr="00867FA7">
              <w:rPr>
                <w:rFonts w:ascii="Helvetica" w:hAnsi="Helvetica"/>
                <w:sz w:val="18"/>
                <w:szCs w:val="18"/>
                <w:highlight w:val="yellow"/>
              </w:rPr>
              <w:t>*This number may be updated according to the results of the TPM development working group process</w:t>
            </w:r>
          </w:p>
          <w:p w14:paraId="190AAF51" w14:textId="77777777" w:rsidR="0012350B" w:rsidRPr="00867FA7" w:rsidRDefault="0012350B" w:rsidP="0089630A">
            <w:pPr>
              <w:pStyle w:val="TableParagraph"/>
              <w:spacing w:before="7"/>
              <w:ind w:left="8"/>
              <w:rPr>
                <w:rFonts w:ascii="Helvetica" w:hAnsi="Helvetica"/>
                <w:sz w:val="18"/>
                <w:szCs w:val="18"/>
                <w:highlight w:val="yellow"/>
              </w:rPr>
            </w:pPr>
          </w:p>
        </w:tc>
      </w:tr>
      <w:tr w:rsidR="00AF697B" w:rsidRPr="00BE1AD1" w14:paraId="3ABA19A2" w14:textId="77777777" w:rsidTr="009B2638">
        <w:tc>
          <w:tcPr>
            <w:tcW w:w="3056" w:type="dxa"/>
            <w:tcBorders>
              <w:right w:val="single" w:sz="4" w:space="0" w:color="000000"/>
            </w:tcBorders>
            <w:shd w:val="clear" w:color="auto" w:fill="DBE4F0"/>
          </w:tcPr>
          <w:p w14:paraId="03A44350" w14:textId="77777777" w:rsidR="0012350B" w:rsidRPr="00BE1AD1" w:rsidRDefault="0012350B" w:rsidP="0089630A">
            <w:pPr>
              <w:rPr>
                <w:rFonts w:ascii="Helvetica" w:hAnsi="Helvetica"/>
                <w:sz w:val="18"/>
                <w:szCs w:val="18"/>
              </w:rPr>
            </w:pPr>
            <w:r w:rsidRPr="00BE1AD1">
              <w:rPr>
                <w:rFonts w:ascii="Helvetica" w:hAnsi="Helvetica"/>
                <w:sz w:val="18"/>
                <w:szCs w:val="18"/>
              </w:rPr>
              <w:t>ETP is not utilizing other programs to confront barriers to market penetration</w:t>
            </w:r>
          </w:p>
          <w:p w14:paraId="6FB25214" w14:textId="77777777" w:rsidR="0012350B" w:rsidRPr="00BE1AD1" w:rsidRDefault="0012350B" w:rsidP="0089630A">
            <w:pPr>
              <w:rPr>
                <w:rFonts w:ascii="Helvetica" w:hAnsi="Helvetica"/>
                <w:sz w:val="18"/>
                <w:szCs w:val="18"/>
              </w:rPr>
            </w:pPr>
          </w:p>
        </w:tc>
        <w:tc>
          <w:tcPr>
            <w:tcW w:w="98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EC0C05B" w14:textId="77777777" w:rsidR="0012350B" w:rsidRPr="00867FA7" w:rsidRDefault="0012350B" w:rsidP="0089630A">
            <w:pPr>
              <w:rPr>
                <w:rFonts w:ascii="Helvetica" w:hAnsi="Helvetica"/>
                <w:sz w:val="18"/>
                <w:szCs w:val="18"/>
                <w:highlight w:val="yellow"/>
              </w:rPr>
            </w:pPr>
            <w:r w:rsidRPr="00867FA7">
              <w:rPr>
                <w:rFonts w:ascii="Helvetica" w:hAnsi="Helvetica"/>
                <w:sz w:val="18"/>
                <w:szCs w:val="18"/>
                <w:highlight w:val="yellow"/>
              </w:rPr>
              <w:t>ETP-M6: 2* projects initiated with cooperation from other internal IOU programs associated with each Technology-focused Pilot</w:t>
            </w:r>
          </w:p>
          <w:p w14:paraId="23A03AA7" w14:textId="77777777" w:rsidR="0012350B" w:rsidRPr="00867FA7" w:rsidRDefault="0012350B" w:rsidP="0089630A">
            <w:pPr>
              <w:rPr>
                <w:rFonts w:ascii="Helvetica" w:hAnsi="Helvetica"/>
                <w:sz w:val="18"/>
                <w:szCs w:val="18"/>
                <w:highlight w:val="yellow"/>
              </w:rPr>
            </w:pPr>
          </w:p>
          <w:p w14:paraId="54F6D91B" w14:textId="77777777" w:rsidR="0012350B" w:rsidRPr="00867FA7" w:rsidRDefault="0012350B" w:rsidP="0089630A">
            <w:pPr>
              <w:rPr>
                <w:rFonts w:ascii="Helvetica" w:hAnsi="Helvetica"/>
                <w:sz w:val="18"/>
                <w:szCs w:val="18"/>
                <w:highlight w:val="yellow"/>
              </w:rPr>
            </w:pPr>
            <w:r w:rsidRPr="00867FA7">
              <w:rPr>
                <w:rFonts w:ascii="Helvetica" w:hAnsi="Helvetica"/>
                <w:sz w:val="18"/>
                <w:szCs w:val="18"/>
                <w:highlight w:val="yellow"/>
              </w:rPr>
              <w:t>*This number may be updated according to the results of the TPM development working group process</w:t>
            </w:r>
          </w:p>
          <w:p w14:paraId="582C68B7" w14:textId="77777777" w:rsidR="0012350B" w:rsidRPr="00867FA7" w:rsidRDefault="0012350B" w:rsidP="0089630A">
            <w:pPr>
              <w:rPr>
                <w:rFonts w:ascii="Helvetica" w:hAnsi="Helvetica"/>
                <w:sz w:val="18"/>
                <w:szCs w:val="18"/>
                <w:highlight w:val="yellow"/>
              </w:rPr>
            </w:pPr>
          </w:p>
        </w:tc>
      </w:tr>
      <w:tr w:rsidR="00AF697B" w:rsidRPr="00BE1AD1" w14:paraId="138975AC" w14:textId="77777777" w:rsidTr="009B2638">
        <w:tc>
          <w:tcPr>
            <w:tcW w:w="3056" w:type="dxa"/>
            <w:tcBorders>
              <w:right w:val="single" w:sz="4" w:space="0" w:color="000000"/>
            </w:tcBorders>
            <w:shd w:val="clear" w:color="auto" w:fill="DBE4F0"/>
          </w:tcPr>
          <w:p w14:paraId="0D1BB1D0" w14:textId="2A1F1E4F" w:rsidR="0012350B" w:rsidRDefault="0012350B" w:rsidP="0089630A">
            <w:pPr>
              <w:pStyle w:val="TableParagraph"/>
              <w:spacing w:before="0"/>
              <w:ind w:left="104"/>
              <w:rPr>
                <w:rFonts w:ascii="Helvetica" w:hAnsi="Helvetica"/>
                <w:sz w:val="18"/>
                <w:szCs w:val="18"/>
              </w:rPr>
            </w:pPr>
            <w:r w:rsidRPr="00BE1AD1">
              <w:rPr>
                <w:rFonts w:ascii="Helvetica" w:hAnsi="Helvetica"/>
                <w:sz w:val="18"/>
                <w:szCs w:val="18"/>
              </w:rPr>
              <w:lastRenderedPageBreak/>
              <w:t>Savings are not being tracked</w:t>
            </w:r>
          </w:p>
          <w:p w14:paraId="06DA8B74" w14:textId="77777777" w:rsidR="004F6BAA" w:rsidRDefault="004F6BAA" w:rsidP="0089630A">
            <w:pPr>
              <w:pStyle w:val="TableParagraph"/>
              <w:spacing w:before="0"/>
              <w:ind w:left="104"/>
              <w:rPr>
                <w:rFonts w:ascii="Helvetica" w:hAnsi="Helvetica"/>
                <w:sz w:val="18"/>
                <w:szCs w:val="18"/>
              </w:rPr>
            </w:pPr>
          </w:p>
          <w:p w14:paraId="58A72B3F" w14:textId="03458C8A" w:rsidR="00723400" w:rsidRPr="00BE1AD1" w:rsidRDefault="00723400" w:rsidP="0089630A">
            <w:pPr>
              <w:pStyle w:val="TableParagraph"/>
              <w:spacing w:before="0"/>
              <w:ind w:left="104"/>
              <w:rPr>
                <w:rFonts w:ascii="Helvetica" w:hAnsi="Helvetica"/>
                <w:sz w:val="18"/>
                <w:szCs w:val="18"/>
              </w:rPr>
            </w:pPr>
            <w:r w:rsidRPr="004F6BAA">
              <w:rPr>
                <w:rFonts w:ascii="Helvetica" w:hAnsi="Helvetica"/>
                <w:color w:val="C00000"/>
                <w:sz w:val="18"/>
                <w:szCs w:val="18"/>
              </w:rPr>
              <w:t xml:space="preserve">[NOTE: INDICATORS WERE CHANGED TO METRICS. </w:t>
            </w:r>
            <w:r w:rsidR="00AF697B">
              <w:rPr>
                <w:rFonts w:ascii="Helvetica" w:hAnsi="Helvetica"/>
                <w:color w:val="C00000"/>
                <w:sz w:val="18"/>
                <w:szCs w:val="18"/>
              </w:rPr>
              <w:t>After collaborative discussion with ED, the</w:t>
            </w:r>
            <w:r w:rsidRPr="004F6BAA">
              <w:rPr>
                <w:rFonts w:ascii="Helvetica" w:hAnsi="Helvetica"/>
                <w:color w:val="C00000"/>
                <w:sz w:val="18"/>
                <w:szCs w:val="18"/>
              </w:rPr>
              <w:t xml:space="preserve"> “ETP-Tx” items were designate</w:t>
            </w:r>
            <w:r w:rsidR="00AF697B">
              <w:rPr>
                <w:rFonts w:ascii="Helvetica" w:hAnsi="Helvetica"/>
                <w:color w:val="C00000"/>
                <w:sz w:val="18"/>
                <w:szCs w:val="18"/>
              </w:rPr>
              <w:t>d</w:t>
            </w:r>
            <w:r w:rsidRPr="004F6BAA">
              <w:rPr>
                <w:rFonts w:ascii="Helvetica" w:hAnsi="Helvetica"/>
                <w:color w:val="C00000"/>
                <w:sz w:val="18"/>
                <w:szCs w:val="18"/>
              </w:rPr>
              <w:t xml:space="preserve"> as Tracking Indicators and filed as such, but they were changed to Metrics in the PD, requiring energy savings goals for a non-resource program.</w:t>
            </w:r>
          </w:p>
        </w:tc>
        <w:tc>
          <w:tcPr>
            <w:tcW w:w="98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F6652F5" w14:textId="15E10CB7" w:rsidR="0012350B" w:rsidRPr="00867FA7" w:rsidRDefault="0012350B" w:rsidP="00896B66">
            <w:pPr>
              <w:pStyle w:val="TableParagraph"/>
              <w:spacing w:before="1" w:line="322" w:lineRule="exact"/>
              <w:ind w:left="6" w:right="622"/>
              <w:rPr>
                <w:rFonts w:ascii="Helvetica" w:hAnsi="Helvetica"/>
                <w:color w:val="FF0000"/>
                <w:sz w:val="18"/>
                <w:szCs w:val="18"/>
                <w:highlight w:val="yellow"/>
              </w:rPr>
            </w:pPr>
            <w:r w:rsidRPr="00867FA7">
              <w:rPr>
                <w:rFonts w:ascii="Helvetica" w:hAnsi="Helvetica"/>
                <w:color w:val="FF0000"/>
                <w:sz w:val="18"/>
                <w:szCs w:val="18"/>
                <w:highlight w:val="yellow"/>
              </w:rPr>
              <w:t>ETP-T1: Prior year: % of new measures added to the portfolio that were previously ETP technologies</w:t>
            </w:r>
          </w:p>
        </w:tc>
      </w:tr>
      <w:tr w:rsidR="00AF697B" w:rsidRPr="00BE1AD1" w14:paraId="0A5D8981" w14:textId="77777777" w:rsidTr="009B2638">
        <w:tc>
          <w:tcPr>
            <w:tcW w:w="3056" w:type="dxa"/>
            <w:tcBorders>
              <w:right w:val="single" w:sz="4" w:space="0" w:color="000000"/>
            </w:tcBorders>
            <w:shd w:val="clear" w:color="auto" w:fill="DBE4F0"/>
          </w:tcPr>
          <w:p w14:paraId="0362212D" w14:textId="77777777" w:rsidR="00AF697B" w:rsidRPr="00BE1AD1" w:rsidRDefault="00AF697B" w:rsidP="0089630A">
            <w:pPr>
              <w:pStyle w:val="TableParagraph"/>
              <w:spacing w:before="0"/>
              <w:ind w:left="0"/>
              <w:rPr>
                <w:rFonts w:ascii="Helvetica" w:hAnsi="Helvetica"/>
                <w:b/>
                <w:sz w:val="18"/>
                <w:szCs w:val="18"/>
              </w:rPr>
            </w:pPr>
          </w:p>
        </w:tc>
        <w:tc>
          <w:tcPr>
            <w:tcW w:w="98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6C137F3" w14:textId="77777777" w:rsidR="00AF697B" w:rsidRPr="00867FA7" w:rsidRDefault="00AF697B" w:rsidP="00AF697B">
            <w:pPr>
              <w:pStyle w:val="TableParagraph"/>
              <w:spacing w:line="184" w:lineRule="auto"/>
              <w:ind w:left="6" w:right="622"/>
              <w:rPr>
                <w:rFonts w:ascii="Helvetica" w:hAnsi="Helvetica"/>
                <w:color w:val="FF0000"/>
                <w:sz w:val="18"/>
                <w:szCs w:val="18"/>
                <w:highlight w:val="yellow"/>
              </w:rPr>
            </w:pPr>
            <w:r w:rsidRPr="00867FA7">
              <w:rPr>
                <w:rFonts w:ascii="Helvetica" w:hAnsi="Helvetica"/>
                <w:color w:val="FF0000"/>
                <w:sz w:val="18"/>
                <w:szCs w:val="18"/>
                <w:highlight w:val="yellow"/>
              </w:rPr>
              <w:t xml:space="preserve">ETP-T2: Prior Year: # of new measures added to </w:t>
            </w:r>
            <w:r w:rsidRPr="00867FA7">
              <w:rPr>
                <w:rFonts w:ascii="Helvetica" w:hAnsi="Helvetica"/>
                <w:color w:val="FF0000"/>
                <w:position w:val="1"/>
                <w:sz w:val="18"/>
                <w:szCs w:val="18"/>
                <w:highlight w:val="yellow"/>
              </w:rPr>
              <w:t xml:space="preserve">the </w:t>
            </w:r>
            <w:r w:rsidRPr="00867FA7">
              <w:rPr>
                <w:rFonts w:ascii="Helvetica" w:hAnsi="Helvetica"/>
                <w:color w:val="FF0000"/>
                <w:sz w:val="18"/>
                <w:szCs w:val="18"/>
                <w:highlight w:val="yellow"/>
              </w:rPr>
              <w:t>portfolio that were previously ETP technologies</w:t>
            </w:r>
          </w:p>
          <w:p w14:paraId="669F5A71" w14:textId="77777777" w:rsidR="00AF697B" w:rsidRPr="00867FA7" w:rsidRDefault="00AF697B" w:rsidP="0089630A">
            <w:pPr>
              <w:pStyle w:val="TableParagraph"/>
              <w:spacing w:before="1" w:line="322" w:lineRule="exact"/>
              <w:ind w:left="6" w:right="622"/>
              <w:rPr>
                <w:rFonts w:ascii="Helvetica" w:hAnsi="Helvetica"/>
                <w:color w:val="FF0000"/>
                <w:sz w:val="18"/>
                <w:szCs w:val="18"/>
                <w:highlight w:val="yellow"/>
              </w:rPr>
            </w:pPr>
          </w:p>
        </w:tc>
      </w:tr>
      <w:tr w:rsidR="00AF697B" w:rsidRPr="00BE1AD1" w14:paraId="737DB816" w14:textId="77777777" w:rsidTr="009B2638">
        <w:tc>
          <w:tcPr>
            <w:tcW w:w="3056" w:type="dxa"/>
            <w:tcBorders>
              <w:right w:val="single" w:sz="4" w:space="0" w:color="000000"/>
            </w:tcBorders>
            <w:shd w:val="clear" w:color="auto" w:fill="DBE4F0"/>
          </w:tcPr>
          <w:p w14:paraId="42375D3D" w14:textId="77777777" w:rsidR="00AF697B" w:rsidRPr="00BE1AD1" w:rsidRDefault="00AF697B" w:rsidP="0089630A">
            <w:pPr>
              <w:pStyle w:val="TableParagraph"/>
              <w:spacing w:before="0"/>
              <w:ind w:left="0"/>
              <w:rPr>
                <w:rFonts w:ascii="Helvetica" w:hAnsi="Helvetica"/>
                <w:b/>
                <w:sz w:val="18"/>
                <w:szCs w:val="18"/>
              </w:rPr>
            </w:pPr>
          </w:p>
        </w:tc>
        <w:tc>
          <w:tcPr>
            <w:tcW w:w="98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7223613" w14:textId="77777777" w:rsidR="00AF697B" w:rsidRPr="00867FA7" w:rsidRDefault="00AF697B" w:rsidP="00AF697B">
            <w:pPr>
              <w:pStyle w:val="TableParagraph"/>
              <w:spacing w:line="296" w:lineRule="exact"/>
              <w:ind w:left="6" w:right="622"/>
              <w:rPr>
                <w:rFonts w:ascii="Helvetica" w:hAnsi="Helvetica"/>
                <w:color w:val="FF0000"/>
                <w:sz w:val="18"/>
                <w:szCs w:val="18"/>
                <w:highlight w:val="yellow"/>
              </w:rPr>
            </w:pPr>
            <w:r w:rsidRPr="00867FA7">
              <w:rPr>
                <w:rFonts w:ascii="Helvetica" w:hAnsi="Helvetica"/>
                <w:color w:val="FF0000"/>
                <w:sz w:val="18"/>
                <w:szCs w:val="18"/>
                <w:highlight w:val="yellow"/>
              </w:rPr>
              <w:t>ETP-T3: Prior year: % of new codes or standards that were previously ETP technologies  </w:t>
            </w:r>
          </w:p>
          <w:p w14:paraId="6100B71D" w14:textId="77777777" w:rsidR="00AF697B" w:rsidRPr="00867FA7" w:rsidRDefault="00AF697B" w:rsidP="0089630A">
            <w:pPr>
              <w:pStyle w:val="TableParagraph"/>
              <w:spacing w:before="1" w:line="322" w:lineRule="exact"/>
              <w:ind w:left="6" w:right="622"/>
              <w:rPr>
                <w:rFonts w:ascii="Helvetica" w:hAnsi="Helvetica"/>
                <w:color w:val="FF0000"/>
                <w:sz w:val="18"/>
                <w:szCs w:val="18"/>
                <w:highlight w:val="yellow"/>
              </w:rPr>
            </w:pPr>
          </w:p>
        </w:tc>
      </w:tr>
      <w:tr w:rsidR="00AF697B" w:rsidRPr="00BE1AD1" w14:paraId="3FB3A6B4" w14:textId="77777777" w:rsidTr="009B2638">
        <w:tc>
          <w:tcPr>
            <w:tcW w:w="3056" w:type="dxa"/>
            <w:tcBorders>
              <w:right w:val="single" w:sz="4" w:space="0" w:color="000000"/>
            </w:tcBorders>
            <w:shd w:val="clear" w:color="auto" w:fill="DBE4F0"/>
          </w:tcPr>
          <w:p w14:paraId="04D84B58" w14:textId="77777777" w:rsidR="00AF697B" w:rsidRPr="00BE1AD1" w:rsidRDefault="00AF697B" w:rsidP="0089630A">
            <w:pPr>
              <w:pStyle w:val="TableParagraph"/>
              <w:spacing w:before="0"/>
              <w:ind w:left="0"/>
              <w:rPr>
                <w:rFonts w:ascii="Helvetica" w:hAnsi="Helvetica"/>
                <w:b/>
                <w:sz w:val="18"/>
                <w:szCs w:val="18"/>
              </w:rPr>
            </w:pPr>
          </w:p>
        </w:tc>
        <w:tc>
          <w:tcPr>
            <w:tcW w:w="98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4D2E249" w14:textId="77777777" w:rsidR="00AF697B" w:rsidRPr="00867FA7" w:rsidRDefault="00AF697B" w:rsidP="00AF697B">
            <w:pPr>
              <w:pStyle w:val="TableParagraph"/>
              <w:spacing w:before="69" w:line="247" w:lineRule="auto"/>
              <w:ind w:right="214"/>
              <w:rPr>
                <w:rFonts w:ascii="Helvetica" w:hAnsi="Helvetica"/>
                <w:color w:val="FF0000"/>
                <w:sz w:val="18"/>
                <w:szCs w:val="18"/>
                <w:highlight w:val="yellow"/>
              </w:rPr>
            </w:pPr>
            <w:r w:rsidRPr="00867FA7">
              <w:rPr>
                <w:rFonts w:ascii="Helvetica" w:hAnsi="Helvetica"/>
                <w:color w:val="FF0000"/>
                <w:sz w:val="18"/>
                <w:szCs w:val="18"/>
                <w:highlight w:val="yellow"/>
              </w:rPr>
              <w:t>ETP-T4: Prior Year: # of new codes and standards that were previously ETP technologies</w:t>
            </w:r>
          </w:p>
          <w:p w14:paraId="78CF31BA" w14:textId="77777777" w:rsidR="00AF697B" w:rsidRPr="00867FA7" w:rsidRDefault="00AF697B" w:rsidP="0089630A">
            <w:pPr>
              <w:pStyle w:val="TableParagraph"/>
              <w:spacing w:before="1" w:line="322" w:lineRule="exact"/>
              <w:ind w:left="6" w:right="622"/>
              <w:rPr>
                <w:rFonts w:ascii="Helvetica" w:hAnsi="Helvetica"/>
                <w:color w:val="FF0000"/>
                <w:sz w:val="18"/>
                <w:szCs w:val="18"/>
                <w:highlight w:val="yellow"/>
              </w:rPr>
            </w:pPr>
          </w:p>
        </w:tc>
      </w:tr>
      <w:tr w:rsidR="00AF697B" w:rsidRPr="00BE1AD1" w14:paraId="230ED3A1" w14:textId="77777777" w:rsidTr="009B2638">
        <w:tc>
          <w:tcPr>
            <w:tcW w:w="3056" w:type="dxa"/>
            <w:tcBorders>
              <w:right w:val="single" w:sz="4" w:space="0" w:color="000000"/>
            </w:tcBorders>
            <w:shd w:val="clear" w:color="auto" w:fill="DBE4F0"/>
          </w:tcPr>
          <w:p w14:paraId="7443BED2" w14:textId="77777777" w:rsidR="00AF697B" w:rsidRPr="00BE1AD1" w:rsidRDefault="00AF697B" w:rsidP="0089630A">
            <w:pPr>
              <w:pStyle w:val="TableParagraph"/>
              <w:spacing w:before="0"/>
              <w:ind w:left="0"/>
              <w:rPr>
                <w:rFonts w:ascii="Helvetica" w:hAnsi="Helvetica"/>
                <w:b/>
                <w:sz w:val="18"/>
                <w:szCs w:val="18"/>
              </w:rPr>
            </w:pPr>
          </w:p>
        </w:tc>
        <w:tc>
          <w:tcPr>
            <w:tcW w:w="98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5FC81DC" w14:textId="6E1B6BCA" w:rsidR="00AF697B" w:rsidRPr="00867FA7" w:rsidRDefault="00AF697B" w:rsidP="0089630A">
            <w:pPr>
              <w:pStyle w:val="TableParagraph"/>
              <w:spacing w:before="1" w:line="322" w:lineRule="exact"/>
              <w:ind w:left="6" w:right="622"/>
              <w:rPr>
                <w:rFonts w:ascii="Helvetica" w:hAnsi="Helvetica"/>
                <w:color w:val="FF0000"/>
                <w:sz w:val="18"/>
                <w:szCs w:val="18"/>
                <w:highlight w:val="yellow"/>
              </w:rPr>
            </w:pPr>
            <w:r w:rsidRPr="00867FA7">
              <w:rPr>
                <w:rFonts w:ascii="Helvetica" w:hAnsi="Helvetica"/>
                <w:color w:val="FF0000"/>
                <w:sz w:val="18"/>
                <w:szCs w:val="18"/>
                <w:highlight w:val="yellow"/>
              </w:rPr>
              <w:t>ETP-T5: Savings of measures currently in the portfolio that were supported by ETP, added since 2009. Ex-ante with gross and net for all measures, with ex-post where available</w:t>
            </w:r>
          </w:p>
        </w:tc>
      </w:tr>
      <w:tr w:rsidR="00AF697B" w:rsidRPr="00BE1AD1" w14:paraId="264632D7" w14:textId="55FF419F" w:rsidTr="009B2638">
        <w:tc>
          <w:tcPr>
            <w:tcW w:w="3056" w:type="dxa"/>
            <w:tcBorders>
              <w:right w:val="single" w:sz="4" w:space="0" w:color="000000"/>
            </w:tcBorders>
            <w:shd w:val="clear" w:color="auto" w:fill="DBE4F0"/>
          </w:tcPr>
          <w:p w14:paraId="19089327" w14:textId="77777777" w:rsidR="0012350B" w:rsidRPr="00BE1AD1" w:rsidRDefault="0012350B" w:rsidP="0089630A">
            <w:pPr>
              <w:pStyle w:val="TableParagraph"/>
              <w:spacing w:before="0"/>
              <w:ind w:left="0"/>
              <w:rPr>
                <w:rFonts w:ascii="Helvetica" w:hAnsi="Helvetica"/>
                <w:b/>
                <w:sz w:val="18"/>
                <w:szCs w:val="18"/>
              </w:rPr>
            </w:pPr>
          </w:p>
          <w:p w14:paraId="79020D8A" w14:textId="77777777" w:rsidR="0012350B" w:rsidRPr="00BE1AD1" w:rsidRDefault="0012350B" w:rsidP="0089630A">
            <w:pPr>
              <w:pStyle w:val="TableParagraph"/>
              <w:spacing w:before="0"/>
              <w:ind w:left="0"/>
              <w:rPr>
                <w:rFonts w:ascii="Helvetica" w:hAnsi="Helvetica"/>
                <w:b/>
                <w:sz w:val="18"/>
                <w:szCs w:val="18"/>
              </w:rPr>
            </w:pPr>
          </w:p>
          <w:p w14:paraId="5ECE672F" w14:textId="77777777" w:rsidR="0012350B" w:rsidRPr="00BE1AD1" w:rsidRDefault="0012350B" w:rsidP="0089630A">
            <w:pPr>
              <w:pStyle w:val="TableParagraph"/>
              <w:spacing w:before="6"/>
              <w:ind w:left="0"/>
              <w:rPr>
                <w:rFonts w:ascii="Helvetica" w:hAnsi="Helvetica"/>
                <w:b/>
                <w:sz w:val="18"/>
                <w:szCs w:val="18"/>
              </w:rPr>
            </w:pPr>
          </w:p>
          <w:p w14:paraId="2F596040" w14:textId="77777777" w:rsidR="0012350B" w:rsidRPr="00BE1AD1" w:rsidRDefault="0012350B" w:rsidP="0089630A">
            <w:pPr>
              <w:pStyle w:val="TableParagraph"/>
              <w:spacing w:before="0" w:line="247" w:lineRule="auto"/>
              <w:ind w:left="104"/>
              <w:rPr>
                <w:rFonts w:ascii="Helvetica" w:hAnsi="Helvetica"/>
                <w:sz w:val="18"/>
                <w:szCs w:val="18"/>
              </w:rPr>
            </w:pPr>
            <w:r w:rsidRPr="00BE1AD1">
              <w:rPr>
                <w:rFonts w:ascii="Helvetica" w:hAnsi="Helvetica"/>
                <w:sz w:val="18"/>
                <w:szCs w:val="18"/>
              </w:rPr>
              <w:t>Input from other groups is not being tracked</w:t>
            </w:r>
          </w:p>
        </w:tc>
        <w:tc>
          <w:tcPr>
            <w:tcW w:w="98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AC1E1BD" w14:textId="77777777" w:rsidR="0012350B" w:rsidRPr="00867FA7" w:rsidRDefault="0012350B" w:rsidP="0089630A">
            <w:pPr>
              <w:rPr>
                <w:rFonts w:ascii="Helvetica" w:hAnsi="Helvetica"/>
                <w:color w:val="FF0000"/>
                <w:sz w:val="18"/>
                <w:szCs w:val="18"/>
                <w:highlight w:val="yellow"/>
              </w:rPr>
            </w:pPr>
            <w:r w:rsidRPr="00867FA7">
              <w:rPr>
                <w:rFonts w:ascii="Helvetica" w:hAnsi="Helvetica"/>
                <w:color w:val="FF0000"/>
                <w:sz w:val="18"/>
                <w:szCs w:val="18"/>
                <w:highlight w:val="yellow"/>
              </w:rPr>
              <w:t>•</w:t>
            </w:r>
            <w:r w:rsidRPr="00867FA7">
              <w:rPr>
                <w:rFonts w:ascii="Helvetica" w:hAnsi="Helvetica"/>
                <w:color w:val="FF0000"/>
                <w:sz w:val="18"/>
                <w:szCs w:val="18"/>
                <w:highlight w:val="yellow"/>
              </w:rPr>
              <w:tab/>
              <w:t>ETP-T6: Number of ETCC project ideas submitted outside of TPM process by source. [Note: Categories of sources (e.g. PA, national lab, manufacturer, technology incubator, etc.) will be developed collaboratively with ED, and self-reported by submitter.] Project source also labeled in the ETP database.</w:t>
            </w:r>
          </w:p>
          <w:p w14:paraId="3C854368" w14:textId="77777777" w:rsidR="0012350B" w:rsidRPr="00867FA7" w:rsidRDefault="0012350B" w:rsidP="0089630A">
            <w:pPr>
              <w:pStyle w:val="TableParagraph"/>
              <w:spacing w:before="69" w:line="247" w:lineRule="auto"/>
              <w:rPr>
                <w:rFonts w:ascii="Helvetica" w:hAnsi="Helvetica"/>
                <w:color w:val="FF0000"/>
                <w:sz w:val="18"/>
                <w:szCs w:val="18"/>
                <w:highlight w:val="yellow"/>
              </w:rPr>
            </w:pPr>
          </w:p>
        </w:tc>
      </w:tr>
      <w:tr w:rsidR="00AF697B" w:rsidRPr="00BE1AD1" w14:paraId="17FF856B" w14:textId="77777777" w:rsidTr="009B2638">
        <w:tc>
          <w:tcPr>
            <w:tcW w:w="3056" w:type="dxa"/>
            <w:tcBorders>
              <w:right w:val="single" w:sz="4" w:space="0" w:color="000000"/>
            </w:tcBorders>
            <w:shd w:val="clear" w:color="auto" w:fill="DBE4F0"/>
          </w:tcPr>
          <w:p w14:paraId="167F45A3" w14:textId="77777777" w:rsidR="00AF697B" w:rsidRPr="00BE1AD1" w:rsidRDefault="00AF697B" w:rsidP="0089630A">
            <w:pPr>
              <w:pStyle w:val="TableParagraph"/>
              <w:spacing w:before="0"/>
              <w:ind w:left="0"/>
              <w:rPr>
                <w:rFonts w:ascii="Helvetica" w:hAnsi="Helvetica"/>
                <w:b/>
                <w:sz w:val="18"/>
                <w:szCs w:val="18"/>
              </w:rPr>
            </w:pPr>
          </w:p>
        </w:tc>
        <w:tc>
          <w:tcPr>
            <w:tcW w:w="98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10C5847" w14:textId="77777777" w:rsidR="00D12A1E" w:rsidRPr="00867FA7" w:rsidRDefault="00D12A1E" w:rsidP="00D12A1E">
            <w:pPr>
              <w:rPr>
                <w:rFonts w:ascii="Helvetica" w:hAnsi="Helvetica"/>
                <w:color w:val="FF0000"/>
                <w:sz w:val="18"/>
                <w:szCs w:val="18"/>
                <w:highlight w:val="yellow"/>
              </w:rPr>
            </w:pPr>
            <w:r w:rsidRPr="00867FA7">
              <w:rPr>
                <w:rFonts w:ascii="Helvetica" w:hAnsi="Helvetica"/>
                <w:color w:val="FF0000"/>
                <w:sz w:val="18"/>
                <w:szCs w:val="18"/>
                <w:highlight w:val="yellow"/>
              </w:rPr>
              <w:t>•</w:t>
            </w:r>
            <w:r w:rsidRPr="00867FA7">
              <w:rPr>
                <w:rFonts w:ascii="Helvetica" w:hAnsi="Helvetica"/>
                <w:color w:val="FF0000"/>
                <w:sz w:val="18"/>
                <w:szCs w:val="18"/>
                <w:highlight w:val="yellow"/>
              </w:rPr>
              <w:tab/>
              <w:t>ETP-T7: Number of TPM project ideas by source, if available [Note: Categories of sources (e.g. PA, national lab, manufacturer, technology incubator, etc.) will be developed collaboratively, and attributed by ETP based on ETP’s expert judgment.] Project source also labeled in the ETP database.</w:t>
            </w:r>
          </w:p>
          <w:p w14:paraId="2B9F43FA" w14:textId="77777777" w:rsidR="00AF697B" w:rsidRPr="00867FA7" w:rsidRDefault="00AF697B" w:rsidP="0089630A">
            <w:pPr>
              <w:rPr>
                <w:rFonts w:ascii="Helvetica" w:hAnsi="Helvetica"/>
                <w:color w:val="FF0000"/>
                <w:sz w:val="18"/>
                <w:szCs w:val="18"/>
                <w:highlight w:val="yellow"/>
              </w:rPr>
            </w:pPr>
          </w:p>
        </w:tc>
      </w:tr>
      <w:tr w:rsidR="00AF697B" w:rsidRPr="00BE1AD1" w14:paraId="44B4DD56" w14:textId="5F77D408" w:rsidTr="009B2638">
        <w:tc>
          <w:tcPr>
            <w:tcW w:w="3056" w:type="dxa"/>
            <w:tcBorders>
              <w:right w:val="single" w:sz="4" w:space="0" w:color="000000"/>
            </w:tcBorders>
            <w:shd w:val="clear" w:color="auto" w:fill="DBE4F0"/>
          </w:tcPr>
          <w:p w14:paraId="6E192683" w14:textId="77777777" w:rsidR="0012350B" w:rsidRPr="00BE1AD1" w:rsidRDefault="0012350B" w:rsidP="0089630A">
            <w:pPr>
              <w:pStyle w:val="TableParagraph"/>
              <w:spacing w:before="258" w:line="247" w:lineRule="auto"/>
              <w:ind w:left="104" w:right="471"/>
              <w:rPr>
                <w:rFonts w:ascii="Helvetica" w:hAnsi="Helvetica"/>
                <w:sz w:val="18"/>
                <w:szCs w:val="18"/>
              </w:rPr>
            </w:pPr>
            <w:r w:rsidRPr="00BE1AD1">
              <w:rPr>
                <w:rFonts w:ascii="Helvetica" w:hAnsi="Helvetica"/>
                <w:sz w:val="18"/>
                <w:szCs w:val="18"/>
              </w:rPr>
              <w:t>Output from ET is not explicitly aligned with long- term goals</w:t>
            </w:r>
          </w:p>
        </w:tc>
        <w:tc>
          <w:tcPr>
            <w:tcW w:w="989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24C0CD8" w14:textId="77777777" w:rsidR="0012350B" w:rsidRPr="00867FA7" w:rsidRDefault="0012350B" w:rsidP="0089630A">
            <w:pPr>
              <w:rPr>
                <w:rFonts w:ascii="Helvetica" w:hAnsi="Helvetica"/>
                <w:color w:val="FF0000"/>
                <w:sz w:val="18"/>
                <w:szCs w:val="18"/>
                <w:highlight w:val="yellow"/>
              </w:rPr>
            </w:pPr>
            <w:r w:rsidRPr="00867FA7">
              <w:rPr>
                <w:rFonts w:ascii="Helvetica" w:hAnsi="Helvetica"/>
                <w:color w:val="FF0000"/>
                <w:sz w:val="18"/>
                <w:szCs w:val="18"/>
                <w:highlight w:val="yellow"/>
              </w:rPr>
              <w:t>ETP-T8: Mapping of ETP projects and technologies aligned with specific statewide goals, with specificity as to what aspect of each goal it is fulfilling. For example: “4 ETP projects are aligned with statewide ZNE-readiness” in addition to “a list of ETP projects aligned with ZNE-readiness are as follows:” Goals will also be labeled in the ETP database. A list of eligible goals will be developed collaboratively with ED.</w:t>
            </w:r>
          </w:p>
          <w:p w14:paraId="130E1C4A" w14:textId="77777777" w:rsidR="0012350B" w:rsidRPr="00867FA7" w:rsidRDefault="0012350B" w:rsidP="0089630A">
            <w:pPr>
              <w:pStyle w:val="TableParagraph"/>
              <w:spacing w:before="69" w:line="247" w:lineRule="auto"/>
              <w:rPr>
                <w:rFonts w:ascii="Helvetica" w:hAnsi="Helvetica"/>
                <w:color w:val="FF0000"/>
                <w:sz w:val="18"/>
                <w:szCs w:val="18"/>
                <w:highlight w:val="yellow"/>
              </w:rPr>
            </w:pPr>
          </w:p>
        </w:tc>
      </w:tr>
    </w:tbl>
    <w:p w14:paraId="778533C0" w14:textId="077F9330" w:rsidR="006316EC" w:rsidRPr="00BE1AD1" w:rsidRDefault="006316EC" w:rsidP="0089630A">
      <w:pPr>
        <w:rPr>
          <w:rFonts w:ascii="Helvetica" w:hAnsi="Helvetica"/>
          <w:sz w:val="18"/>
          <w:szCs w:val="18"/>
        </w:rPr>
      </w:pPr>
    </w:p>
    <w:p w14:paraId="0D5B2B7B" w14:textId="77777777" w:rsidR="00801791" w:rsidRPr="00BE1AD1" w:rsidRDefault="00801791" w:rsidP="0089630A">
      <w:pPr>
        <w:rPr>
          <w:rFonts w:ascii="Helvetica" w:hAnsi="Helvetica"/>
          <w:sz w:val="18"/>
          <w:szCs w:val="18"/>
        </w:rPr>
      </w:pPr>
    </w:p>
    <w:sectPr w:rsidR="00801791" w:rsidRPr="00BE1AD1" w:rsidSect="00EC17AD">
      <w:footerReference w:type="even"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CF95B" w14:textId="77777777" w:rsidR="00EE443C" w:rsidRDefault="00EE443C" w:rsidP="00832B4F">
      <w:r>
        <w:separator/>
      </w:r>
    </w:p>
  </w:endnote>
  <w:endnote w:type="continuationSeparator" w:id="0">
    <w:p w14:paraId="4C9FD946" w14:textId="77777777" w:rsidR="00EE443C" w:rsidRDefault="00EE443C" w:rsidP="0083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3942824"/>
      <w:docPartObj>
        <w:docPartGallery w:val="Page Numbers (Bottom of Page)"/>
        <w:docPartUnique/>
      </w:docPartObj>
    </w:sdtPr>
    <w:sdtEndPr>
      <w:rPr>
        <w:rStyle w:val="PageNumber"/>
      </w:rPr>
    </w:sdtEndPr>
    <w:sdtContent>
      <w:p w14:paraId="7D25D7DB" w14:textId="6037E9C3" w:rsidR="00832B4F" w:rsidRDefault="00832B4F" w:rsidP="001164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E6039F" w14:textId="77777777" w:rsidR="00832B4F" w:rsidRDefault="00832B4F" w:rsidP="00832B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9279636"/>
      <w:docPartObj>
        <w:docPartGallery w:val="Page Numbers (Bottom of Page)"/>
        <w:docPartUnique/>
      </w:docPartObj>
    </w:sdtPr>
    <w:sdtEndPr>
      <w:rPr>
        <w:rStyle w:val="PageNumber"/>
      </w:rPr>
    </w:sdtEndPr>
    <w:sdtContent>
      <w:p w14:paraId="3D270A15" w14:textId="3CA07A9F" w:rsidR="00832B4F" w:rsidRDefault="00832B4F" w:rsidP="001164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7F492C" w14:textId="77777777" w:rsidR="00832B4F" w:rsidRDefault="00832B4F" w:rsidP="00832B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A5295" w14:textId="77777777" w:rsidR="00EE443C" w:rsidRDefault="00EE443C" w:rsidP="00832B4F">
      <w:r>
        <w:separator/>
      </w:r>
    </w:p>
  </w:footnote>
  <w:footnote w:type="continuationSeparator" w:id="0">
    <w:p w14:paraId="1A7E9090" w14:textId="77777777" w:rsidR="00EE443C" w:rsidRDefault="00EE443C" w:rsidP="00832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AD"/>
    <w:rsid w:val="00006FDC"/>
    <w:rsid w:val="0003430D"/>
    <w:rsid w:val="00056B10"/>
    <w:rsid w:val="00081392"/>
    <w:rsid w:val="00090959"/>
    <w:rsid w:val="000A38B8"/>
    <w:rsid w:val="000A55C6"/>
    <w:rsid w:val="000A644B"/>
    <w:rsid w:val="000B418D"/>
    <w:rsid w:val="000C7079"/>
    <w:rsid w:val="000D132E"/>
    <w:rsid w:val="000D57BB"/>
    <w:rsid w:val="000D607D"/>
    <w:rsid w:val="00106899"/>
    <w:rsid w:val="0012350B"/>
    <w:rsid w:val="00124149"/>
    <w:rsid w:val="001369E7"/>
    <w:rsid w:val="001414C9"/>
    <w:rsid w:val="00143897"/>
    <w:rsid w:val="001449A1"/>
    <w:rsid w:val="001514EF"/>
    <w:rsid w:val="00157E69"/>
    <w:rsid w:val="0016333D"/>
    <w:rsid w:val="001657ED"/>
    <w:rsid w:val="00170D6F"/>
    <w:rsid w:val="001B1C40"/>
    <w:rsid w:val="001C1B0F"/>
    <w:rsid w:val="001C22C6"/>
    <w:rsid w:val="001D6D69"/>
    <w:rsid w:val="001D7C75"/>
    <w:rsid w:val="001F35DE"/>
    <w:rsid w:val="00202147"/>
    <w:rsid w:val="00205C65"/>
    <w:rsid w:val="002208A0"/>
    <w:rsid w:val="0022402E"/>
    <w:rsid w:val="00224E4A"/>
    <w:rsid w:val="002277CA"/>
    <w:rsid w:val="0024662B"/>
    <w:rsid w:val="00257BF9"/>
    <w:rsid w:val="00274FD3"/>
    <w:rsid w:val="002A3C44"/>
    <w:rsid w:val="002C4E3A"/>
    <w:rsid w:val="002D2284"/>
    <w:rsid w:val="002D5842"/>
    <w:rsid w:val="00311F8C"/>
    <w:rsid w:val="00313CB9"/>
    <w:rsid w:val="00332129"/>
    <w:rsid w:val="00334DE9"/>
    <w:rsid w:val="00355D1D"/>
    <w:rsid w:val="003561FE"/>
    <w:rsid w:val="003754CD"/>
    <w:rsid w:val="00385620"/>
    <w:rsid w:val="003A008A"/>
    <w:rsid w:val="003B635C"/>
    <w:rsid w:val="003F2113"/>
    <w:rsid w:val="003F66F9"/>
    <w:rsid w:val="003F7DAD"/>
    <w:rsid w:val="00441053"/>
    <w:rsid w:val="00450424"/>
    <w:rsid w:val="004533DB"/>
    <w:rsid w:val="00466349"/>
    <w:rsid w:val="0048350C"/>
    <w:rsid w:val="00487CC1"/>
    <w:rsid w:val="004928FA"/>
    <w:rsid w:val="004A144E"/>
    <w:rsid w:val="004A46A3"/>
    <w:rsid w:val="004E515F"/>
    <w:rsid w:val="004F6BAA"/>
    <w:rsid w:val="00523767"/>
    <w:rsid w:val="005401BF"/>
    <w:rsid w:val="005559EB"/>
    <w:rsid w:val="00567FAE"/>
    <w:rsid w:val="00575429"/>
    <w:rsid w:val="00585358"/>
    <w:rsid w:val="00593E74"/>
    <w:rsid w:val="005B501F"/>
    <w:rsid w:val="005F6F21"/>
    <w:rsid w:val="00603637"/>
    <w:rsid w:val="00606BC0"/>
    <w:rsid w:val="00622BB8"/>
    <w:rsid w:val="00627F6C"/>
    <w:rsid w:val="00630759"/>
    <w:rsid w:val="00630F80"/>
    <w:rsid w:val="006316EC"/>
    <w:rsid w:val="00635E8E"/>
    <w:rsid w:val="00661297"/>
    <w:rsid w:val="00677D5C"/>
    <w:rsid w:val="00691568"/>
    <w:rsid w:val="006A269B"/>
    <w:rsid w:val="006B6177"/>
    <w:rsid w:val="006E22BF"/>
    <w:rsid w:val="007121D2"/>
    <w:rsid w:val="00723400"/>
    <w:rsid w:val="00734A64"/>
    <w:rsid w:val="00777746"/>
    <w:rsid w:val="00786D1F"/>
    <w:rsid w:val="007A05AD"/>
    <w:rsid w:val="007B0AF7"/>
    <w:rsid w:val="007D123C"/>
    <w:rsid w:val="007F2C65"/>
    <w:rsid w:val="007F62D9"/>
    <w:rsid w:val="008009D7"/>
    <w:rsid w:val="00801791"/>
    <w:rsid w:val="00817D0D"/>
    <w:rsid w:val="008220CE"/>
    <w:rsid w:val="00825157"/>
    <w:rsid w:val="00826B04"/>
    <w:rsid w:val="00832B4F"/>
    <w:rsid w:val="00844437"/>
    <w:rsid w:val="008447E6"/>
    <w:rsid w:val="008512DE"/>
    <w:rsid w:val="00851FB3"/>
    <w:rsid w:val="00867FA7"/>
    <w:rsid w:val="00871B61"/>
    <w:rsid w:val="00876F9C"/>
    <w:rsid w:val="00884524"/>
    <w:rsid w:val="0089630A"/>
    <w:rsid w:val="00896B66"/>
    <w:rsid w:val="008A34A5"/>
    <w:rsid w:val="008A59C6"/>
    <w:rsid w:val="008C3AEA"/>
    <w:rsid w:val="008E0627"/>
    <w:rsid w:val="00905EE8"/>
    <w:rsid w:val="0091701D"/>
    <w:rsid w:val="0094075C"/>
    <w:rsid w:val="009446B4"/>
    <w:rsid w:val="00950156"/>
    <w:rsid w:val="009632B7"/>
    <w:rsid w:val="00964237"/>
    <w:rsid w:val="009707F2"/>
    <w:rsid w:val="00976A5B"/>
    <w:rsid w:val="00986751"/>
    <w:rsid w:val="0099346F"/>
    <w:rsid w:val="009B2169"/>
    <w:rsid w:val="009B2638"/>
    <w:rsid w:val="009E7422"/>
    <w:rsid w:val="009E76F7"/>
    <w:rsid w:val="009F51F4"/>
    <w:rsid w:val="00A20153"/>
    <w:rsid w:val="00A22135"/>
    <w:rsid w:val="00A26914"/>
    <w:rsid w:val="00A33173"/>
    <w:rsid w:val="00A40EBA"/>
    <w:rsid w:val="00A413E9"/>
    <w:rsid w:val="00A4681A"/>
    <w:rsid w:val="00A53F0A"/>
    <w:rsid w:val="00A97370"/>
    <w:rsid w:val="00AA5418"/>
    <w:rsid w:val="00AB7053"/>
    <w:rsid w:val="00AF697B"/>
    <w:rsid w:val="00B07CDB"/>
    <w:rsid w:val="00B33789"/>
    <w:rsid w:val="00B36BAA"/>
    <w:rsid w:val="00B42060"/>
    <w:rsid w:val="00B66379"/>
    <w:rsid w:val="00B66D90"/>
    <w:rsid w:val="00B706EE"/>
    <w:rsid w:val="00B76027"/>
    <w:rsid w:val="00B90E5C"/>
    <w:rsid w:val="00B91B9D"/>
    <w:rsid w:val="00BA692D"/>
    <w:rsid w:val="00BD575B"/>
    <w:rsid w:val="00BE02A8"/>
    <w:rsid w:val="00BE1AD1"/>
    <w:rsid w:val="00BE3681"/>
    <w:rsid w:val="00BF2B39"/>
    <w:rsid w:val="00C00063"/>
    <w:rsid w:val="00C11C5B"/>
    <w:rsid w:val="00C2062B"/>
    <w:rsid w:val="00C2193B"/>
    <w:rsid w:val="00C23612"/>
    <w:rsid w:val="00C51913"/>
    <w:rsid w:val="00C5378C"/>
    <w:rsid w:val="00C65D56"/>
    <w:rsid w:val="00CC08A8"/>
    <w:rsid w:val="00CD2505"/>
    <w:rsid w:val="00D07385"/>
    <w:rsid w:val="00D10618"/>
    <w:rsid w:val="00D12A1E"/>
    <w:rsid w:val="00D171E4"/>
    <w:rsid w:val="00D22194"/>
    <w:rsid w:val="00D30834"/>
    <w:rsid w:val="00D52D6E"/>
    <w:rsid w:val="00D54A48"/>
    <w:rsid w:val="00D8017E"/>
    <w:rsid w:val="00D8206E"/>
    <w:rsid w:val="00D82D76"/>
    <w:rsid w:val="00D9588C"/>
    <w:rsid w:val="00DA5A5E"/>
    <w:rsid w:val="00DD2BC7"/>
    <w:rsid w:val="00DE3A26"/>
    <w:rsid w:val="00E018E6"/>
    <w:rsid w:val="00E152C3"/>
    <w:rsid w:val="00E2488D"/>
    <w:rsid w:val="00E30D4D"/>
    <w:rsid w:val="00E34B4C"/>
    <w:rsid w:val="00E531D5"/>
    <w:rsid w:val="00E60DCF"/>
    <w:rsid w:val="00E70569"/>
    <w:rsid w:val="00E764FF"/>
    <w:rsid w:val="00E90094"/>
    <w:rsid w:val="00E936B1"/>
    <w:rsid w:val="00E93708"/>
    <w:rsid w:val="00EB1D2A"/>
    <w:rsid w:val="00EB7CAC"/>
    <w:rsid w:val="00EC17AD"/>
    <w:rsid w:val="00EC330C"/>
    <w:rsid w:val="00EE443C"/>
    <w:rsid w:val="00EF241E"/>
    <w:rsid w:val="00EF3C5C"/>
    <w:rsid w:val="00EF4B2D"/>
    <w:rsid w:val="00F04658"/>
    <w:rsid w:val="00F0781E"/>
    <w:rsid w:val="00F10495"/>
    <w:rsid w:val="00F1163D"/>
    <w:rsid w:val="00F1284B"/>
    <w:rsid w:val="00F14236"/>
    <w:rsid w:val="00F2716E"/>
    <w:rsid w:val="00F4590D"/>
    <w:rsid w:val="00F4597F"/>
    <w:rsid w:val="00F54F62"/>
    <w:rsid w:val="00F66EDA"/>
    <w:rsid w:val="00F7636C"/>
    <w:rsid w:val="00F85731"/>
    <w:rsid w:val="00F877E8"/>
    <w:rsid w:val="00F96CAA"/>
    <w:rsid w:val="00FA4C38"/>
    <w:rsid w:val="00FC0F8B"/>
    <w:rsid w:val="00FE03B9"/>
    <w:rsid w:val="00FF0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35D56C"/>
  <w14:defaultImageDpi w14:val="300"/>
  <w15:docId w15:val="{D0B0C077-A745-4D40-B859-3A8DB803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7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F9C"/>
    <w:rPr>
      <w:sz w:val="18"/>
      <w:szCs w:val="18"/>
    </w:rPr>
  </w:style>
  <w:style w:type="character" w:customStyle="1" w:styleId="BalloonTextChar">
    <w:name w:val="Balloon Text Char"/>
    <w:basedOn w:val="DefaultParagraphFont"/>
    <w:link w:val="BalloonText"/>
    <w:uiPriority w:val="99"/>
    <w:semiHidden/>
    <w:rsid w:val="00876F9C"/>
    <w:rPr>
      <w:sz w:val="18"/>
      <w:szCs w:val="18"/>
      <w:lang w:eastAsia="en-US"/>
    </w:rPr>
  </w:style>
  <w:style w:type="paragraph" w:customStyle="1" w:styleId="TableParagraph">
    <w:name w:val="Table Paragraph"/>
    <w:basedOn w:val="Normal"/>
    <w:uiPriority w:val="1"/>
    <w:qFormat/>
    <w:rsid w:val="006316EC"/>
    <w:pPr>
      <w:widowControl w:val="0"/>
      <w:autoSpaceDE w:val="0"/>
      <w:autoSpaceDN w:val="0"/>
      <w:spacing w:before="72"/>
      <w:ind w:left="106"/>
    </w:pPr>
    <w:rPr>
      <w:rFonts w:ascii="Book Antiqua" w:eastAsia="Book Antiqua" w:hAnsi="Book Antiqua" w:cs="Book Antiqua"/>
      <w:sz w:val="22"/>
      <w:szCs w:val="22"/>
    </w:rPr>
  </w:style>
  <w:style w:type="paragraph" w:styleId="BodyText">
    <w:name w:val="Body Text"/>
    <w:basedOn w:val="Normal"/>
    <w:link w:val="BodyTextChar"/>
    <w:uiPriority w:val="1"/>
    <w:qFormat/>
    <w:rsid w:val="006316EC"/>
    <w:pPr>
      <w:widowControl w:val="0"/>
      <w:autoSpaceDE w:val="0"/>
      <w:autoSpaceDN w:val="0"/>
    </w:pPr>
    <w:rPr>
      <w:rFonts w:ascii="Book Antiqua" w:eastAsia="Book Antiqua" w:hAnsi="Book Antiqua" w:cs="Book Antiqua"/>
      <w:sz w:val="26"/>
      <w:szCs w:val="26"/>
    </w:rPr>
  </w:style>
  <w:style w:type="character" w:customStyle="1" w:styleId="BodyTextChar">
    <w:name w:val="Body Text Char"/>
    <w:basedOn w:val="DefaultParagraphFont"/>
    <w:link w:val="BodyText"/>
    <w:uiPriority w:val="1"/>
    <w:rsid w:val="006316EC"/>
    <w:rPr>
      <w:rFonts w:ascii="Book Antiqua" w:eastAsia="Book Antiqua" w:hAnsi="Book Antiqua" w:cs="Book Antiqua"/>
      <w:sz w:val="26"/>
      <w:szCs w:val="26"/>
      <w:lang w:eastAsia="en-US"/>
    </w:rPr>
  </w:style>
  <w:style w:type="paragraph" w:styleId="Footer">
    <w:name w:val="footer"/>
    <w:basedOn w:val="Normal"/>
    <w:link w:val="FooterChar"/>
    <w:uiPriority w:val="99"/>
    <w:unhideWhenUsed/>
    <w:rsid w:val="00832B4F"/>
    <w:pPr>
      <w:tabs>
        <w:tab w:val="center" w:pos="4680"/>
        <w:tab w:val="right" w:pos="9360"/>
      </w:tabs>
    </w:pPr>
  </w:style>
  <w:style w:type="character" w:customStyle="1" w:styleId="FooterChar">
    <w:name w:val="Footer Char"/>
    <w:basedOn w:val="DefaultParagraphFont"/>
    <w:link w:val="Footer"/>
    <w:uiPriority w:val="99"/>
    <w:rsid w:val="00832B4F"/>
    <w:rPr>
      <w:sz w:val="24"/>
      <w:szCs w:val="24"/>
      <w:lang w:eastAsia="en-US"/>
    </w:rPr>
  </w:style>
  <w:style w:type="character" w:styleId="PageNumber">
    <w:name w:val="page number"/>
    <w:basedOn w:val="DefaultParagraphFont"/>
    <w:uiPriority w:val="99"/>
    <w:semiHidden/>
    <w:unhideWhenUsed/>
    <w:rsid w:val="00832B4F"/>
  </w:style>
  <w:style w:type="paragraph" w:styleId="Header">
    <w:name w:val="header"/>
    <w:basedOn w:val="Normal"/>
    <w:link w:val="HeaderChar"/>
    <w:uiPriority w:val="99"/>
    <w:unhideWhenUsed/>
    <w:rsid w:val="00786D1F"/>
    <w:pPr>
      <w:tabs>
        <w:tab w:val="center" w:pos="4680"/>
        <w:tab w:val="right" w:pos="9360"/>
      </w:tabs>
    </w:pPr>
  </w:style>
  <w:style w:type="character" w:customStyle="1" w:styleId="HeaderChar">
    <w:name w:val="Header Char"/>
    <w:basedOn w:val="DefaultParagraphFont"/>
    <w:link w:val="Header"/>
    <w:uiPriority w:val="99"/>
    <w:rsid w:val="00786D1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608">
      <w:bodyDiv w:val="1"/>
      <w:marLeft w:val="0"/>
      <w:marRight w:val="0"/>
      <w:marTop w:val="0"/>
      <w:marBottom w:val="0"/>
      <w:divBdr>
        <w:top w:val="none" w:sz="0" w:space="0" w:color="auto"/>
        <w:left w:val="none" w:sz="0" w:space="0" w:color="auto"/>
        <w:bottom w:val="none" w:sz="0" w:space="0" w:color="auto"/>
        <w:right w:val="none" w:sz="0" w:space="0" w:color="auto"/>
      </w:divBdr>
    </w:div>
    <w:div w:id="30425975">
      <w:bodyDiv w:val="1"/>
      <w:marLeft w:val="0"/>
      <w:marRight w:val="0"/>
      <w:marTop w:val="0"/>
      <w:marBottom w:val="0"/>
      <w:divBdr>
        <w:top w:val="none" w:sz="0" w:space="0" w:color="auto"/>
        <w:left w:val="none" w:sz="0" w:space="0" w:color="auto"/>
        <w:bottom w:val="none" w:sz="0" w:space="0" w:color="auto"/>
        <w:right w:val="none" w:sz="0" w:space="0" w:color="auto"/>
      </w:divBdr>
    </w:div>
    <w:div w:id="86926331">
      <w:bodyDiv w:val="1"/>
      <w:marLeft w:val="0"/>
      <w:marRight w:val="0"/>
      <w:marTop w:val="0"/>
      <w:marBottom w:val="0"/>
      <w:divBdr>
        <w:top w:val="none" w:sz="0" w:space="0" w:color="auto"/>
        <w:left w:val="none" w:sz="0" w:space="0" w:color="auto"/>
        <w:bottom w:val="none" w:sz="0" w:space="0" w:color="auto"/>
        <w:right w:val="none" w:sz="0" w:space="0" w:color="auto"/>
      </w:divBdr>
    </w:div>
    <w:div w:id="108665215">
      <w:bodyDiv w:val="1"/>
      <w:marLeft w:val="0"/>
      <w:marRight w:val="0"/>
      <w:marTop w:val="0"/>
      <w:marBottom w:val="0"/>
      <w:divBdr>
        <w:top w:val="none" w:sz="0" w:space="0" w:color="auto"/>
        <w:left w:val="none" w:sz="0" w:space="0" w:color="auto"/>
        <w:bottom w:val="none" w:sz="0" w:space="0" w:color="auto"/>
        <w:right w:val="none" w:sz="0" w:space="0" w:color="auto"/>
      </w:divBdr>
    </w:div>
    <w:div w:id="113716406">
      <w:bodyDiv w:val="1"/>
      <w:marLeft w:val="0"/>
      <w:marRight w:val="0"/>
      <w:marTop w:val="0"/>
      <w:marBottom w:val="0"/>
      <w:divBdr>
        <w:top w:val="none" w:sz="0" w:space="0" w:color="auto"/>
        <w:left w:val="none" w:sz="0" w:space="0" w:color="auto"/>
        <w:bottom w:val="none" w:sz="0" w:space="0" w:color="auto"/>
        <w:right w:val="none" w:sz="0" w:space="0" w:color="auto"/>
      </w:divBdr>
    </w:div>
    <w:div w:id="127287493">
      <w:bodyDiv w:val="1"/>
      <w:marLeft w:val="0"/>
      <w:marRight w:val="0"/>
      <w:marTop w:val="0"/>
      <w:marBottom w:val="0"/>
      <w:divBdr>
        <w:top w:val="none" w:sz="0" w:space="0" w:color="auto"/>
        <w:left w:val="none" w:sz="0" w:space="0" w:color="auto"/>
        <w:bottom w:val="none" w:sz="0" w:space="0" w:color="auto"/>
        <w:right w:val="none" w:sz="0" w:space="0" w:color="auto"/>
      </w:divBdr>
    </w:div>
    <w:div w:id="177014624">
      <w:bodyDiv w:val="1"/>
      <w:marLeft w:val="0"/>
      <w:marRight w:val="0"/>
      <w:marTop w:val="0"/>
      <w:marBottom w:val="0"/>
      <w:divBdr>
        <w:top w:val="none" w:sz="0" w:space="0" w:color="auto"/>
        <w:left w:val="none" w:sz="0" w:space="0" w:color="auto"/>
        <w:bottom w:val="none" w:sz="0" w:space="0" w:color="auto"/>
        <w:right w:val="none" w:sz="0" w:space="0" w:color="auto"/>
      </w:divBdr>
    </w:div>
    <w:div w:id="189729157">
      <w:bodyDiv w:val="1"/>
      <w:marLeft w:val="0"/>
      <w:marRight w:val="0"/>
      <w:marTop w:val="0"/>
      <w:marBottom w:val="0"/>
      <w:divBdr>
        <w:top w:val="none" w:sz="0" w:space="0" w:color="auto"/>
        <w:left w:val="none" w:sz="0" w:space="0" w:color="auto"/>
        <w:bottom w:val="none" w:sz="0" w:space="0" w:color="auto"/>
        <w:right w:val="none" w:sz="0" w:space="0" w:color="auto"/>
      </w:divBdr>
    </w:div>
    <w:div w:id="196239231">
      <w:bodyDiv w:val="1"/>
      <w:marLeft w:val="0"/>
      <w:marRight w:val="0"/>
      <w:marTop w:val="0"/>
      <w:marBottom w:val="0"/>
      <w:divBdr>
        <w:top w:val="none" w:sz="0" w:space="0" w:color="auto"/>
        <w:left w:val="none" w:sz="0" w:space="0" w:color="auto"/>
        <w:bottom w:val="none" w:sz="0" w:space="0" w:color="auto"/>
        <w:right w:val="none" w:sz="0" w:space="0" w:color="auto"/>
      </w:divBdr>
    </w:div>
    <w:div w:id="351344027">
      <w:bodyDiv w:val="1"/>
      <w:marLeft w:val="0"/>
      <w:marRight w:val="0"/>
      <w:marTop w:val="0"/>
      <w:marBottom w:val="0"/>
      <w:divBdr>
        <w:top w:val="none" w:sz="0" w:space="0" w:color="auto"/>
        <w:left w:val="none" w:sz="0" w:space="0" w:color="auto"/>
        <w:bottom w:val="none" w:sz="0" w:space="0" w:color="auto"/>
        <w:right w:val="none" w:sz="0" w:space="0" w:color="auto"/>
      </w:divBdr>
    </w:div>
    <w:div w:id="356270402">
      <w:bodyDiv w:val="1"/>
      <w:marLeft w:val="0"/>
      <w:marRight w:val="0"/>
      <w:marTop w:val="0"/>
      <w:marBottom w:val="0"/>
      <w:divBdr>
        <w:top w:val="none" w:sz="0" w:space="0" w:color="auto"/>
        <w:left w:val="none" w:sz="0" w:space="0" w:color="auto"/>
        <w:bottom w:val="none" w:sz="0" w:space="0" w:color="auto"/>
        <w:right w:val="none" w:sz="0" w:space="0" w:color="auto"/>
      </w:divBdr>
    </w:div>
    <w:div w:id="358043908">
      <w:bodyDiv w:val="1"/>
      <w:marLeft w:val="0"/>
      <w:marRight w:val="0"/>
      <w:marTop w:val="0"/>
      <w:marBottom w:val="0"/>
      <w:divBdr>
        <w:top w:val="none" w:sz="0" w:space="0" w:color="auto"/>
        <w:left w:val="none" w:sz="0" w:space="0" w:color="auto"/>
        <w:bottom w:val="none" w:sz="0" w:space="0" w:color="auto"/>
        <w:right w:val="none" w:sz="0" w:space="0" w:color="auto"/>
      </w:divBdr>
    </w:div>
    <w:div w:id="422069799">
      <w:bodyDiv w:val="1"/>
      <w:marLeft w:val="0"/>
      <w:marRight w:val="0"/>
      <w:marTop w:val="0"/>
      <w:marBottom w:val="0"/>
      <w:divBdr>
        <w:top w:val="none" w:sz="0" w:space="0" w:color="auto"/>
        <w:left w:val="none" w:sz="0" w:space="0" w:color="auto"/>
        <w:bottom w:val="none" w:sz="0" w:space="0" w:color="auto"/>
        <w:right w:val="none" w:sz="0" w:space="0" w:color="auto"/>
      </w:divBdr>
    </w:div>
    <w:div w:id="466246161">
      <w:bodyDiv w:val="1"/>
      <w:marLeft w:val="0"/>
      <w:marRight w:val="0"/>
      <w:marTop w:val="0"/>
      <w:marBottom w:val="0"/>
      <w:divBdr>
        <w:top w:val="none" w:sz="0" w:space="0" w:color="auto"/>
        <w:left w:val="none" w:sz="0" w:space="0" w:color="auto"/>
        <w:bottom w:val="none" w:sz="0" w:space="0" w:color="auto"/>
        <w:right w:val="none" w:sz="0" w:space="0" w:color="auto"/>
      </w:divBdr>
    </w:div>
    <w:div w:id="474570998">
      <w:bodyDiv w:val="1"/>
      <w:marLeft w:val="0"/>
      <w:marRight w:val="0"/>
      <w:marTop w:val="0"/>
      <w:marBottom w:val="0"/>
      <w:divBdr>
        <w:top w:val="none" w:sz="0" w:space="0" w:color="auto"/>
        <w:left w:val="none" w:sz="0" w:space="0" w:color="auto"/>
        <w:bottom w:val="none" w:sz="0" w:space="0" w:color="auto"/>
        <w:right w:val="none" w:sz="0" w:space="0" w:color="auto"/>
      </w:divBdr>
    </w:div>
    <w:div w:id="480851780">
      <w:bodyDiv w:val="1"/>
      <w:marLeft w:val="0"/>
      <w:marRight w:val="0"/>
      <w:marTop w:val="0"/>
      <w:marBottom w:val="0"/>
      <w:divBdr>
        <w:top w:val="none" w:sz="0" w:space="0" w:color="auto"/>
        <w:left w:val="none" w:sz="0" w:space="0" w:color="auto"/>
        <w:bottom w:val="none" w:sz="0" w:space="0" w:color="auto"/>
        <w:right w:val="none" w:sz="0" w:space="0" w:color="auto"/>
      </w:divBdr>
    </w:div>
    <w:div w:id="488013739">
      <w:bodyDiv w:val="1"/>
      <w:marLeft w:val="0"/>
      <w:marRight w:val="0"/>
      <w:marTop w:val="0"/>
      <w:marBottom w:val="0"/>
      <w:divBdr>
        <w:top w:val="none" w:sz="0" w:space="0" w:color="auto"/>
        <w:left w:val="none" w:sz="0" w:space="0" w:color="auto"/>
        <w:bottom w:val="none" w:sz="0" w:space="0" w:color="auto"/>
        <w:right w:val="none" w:sz="0" w:space="0" w:color="auto"/>
      </w:divBdr>
    </w:div>
    <w:div w:id="521214304">
      <w:bodyDiv w:val="1"/>
      <w:marLeft w:val="0"/>
      <w:marRight w:val="0"/>
      <w:marTop w:val="0"/>
      <w:marBottom w:val="0"/>
      <w:divBdr>
        <w:top w:val="none" w:sz="0" w:space="0" w:color="auto"/>
        <w:left w:val="none" w:sz="0" w:space="0" w:color="auto"/>
        <w:bottom w:val="none" w:sz="0" w:space="0" w:color="auto"/>
        <w:right w:val="none" w:sz="0" w:space="0" w:color="auto"/>
      </w:divBdr>
    </w:div>
    <w:div w:id="529799397">
      <w:bodyDiv w:val="1"/>
      <w:marLeft w:val="0"/>
      <w:marRight w:val="0"/>
      <w:marTop w:val="0"/>
      <w:marBottom w:val="0"/>
      <w:divBdr>
        <w:top w:val="none" w:sz="0" w:space="0" w:color="auto"/>
        <w:left w:val="none" w:sz="0" w:space="0" w:color="auto"/>
        <w:bottom w:val="none" w:sz="0" w:space="0" w:color="auto"/>
        <w:right w:val="none" w:sz="0" w:space="0" w:color="auto"/>
      </w:divBdr>
    </w:div>
    <w:div w:id="606888248">
      <w:bodyDiv w:val="1"/>
      <w:marLeft w:val="0"/>
      <w:marRight w:val="0"/>
      <w:marTop w:val="0"/>
      <w:marBottom w:val="0"/>
      <w:divBdr>
        <w:top w:val="none" w:sz="0" w:space="0" w:color="auto"/>
        <w:left w:val="none" w:sz="0" w:space="0" w:color="auto"/>
        <w:bottom w:val="none" w:sz="0" w:space="0" w:color="auto"/>
        <w:right w:val="none" w:sz="0" w:space="0" w:color="auto"/>
      </w:divBdr>
    </w:div>
    <w:div w:id="710300286">
      <w:bodyDiv w:val="1"/>
      <w:marLeft w:val="0"/>
      <w:marRight w:val="0"/>
      <w:marTop w:val="0"/>
      <w:marBottom w:val="0"/>
      <w:divBdr>
        <w:top w:val="none" w:sz="0" w:space="0" w:color="auto"/>
        <w:left w:val="none" w:sz="0" w:space="0" w:color="auto"/>
        <w:bottom w:val="none" w:sz="0" w:space="0" w:color="auto"/>
        <w:right w:val="none" w:sz="0" w:space="0" w:color="auto"/>
      </w:divBdr>
    </w:div>
    <w:div w:id="796879248">
      <w:bodyDiv w:val="1"/>
      <w:marLeft w:val="0"/>
      <w:marRight w:val="0"/>
      <w:marTop w:val="0"/>
      <w:marBottom w:val="0"/>
      <w:divBdr>
        <w:top w:val="none" w:sz="0" w:space="0" w:color="auto"/>
        <w:left w:val="none" w:sz="0" w:space="0" w:color="auto"/>
        <w:bottom w:val="none" w:sz="0" w:space="0" w:color="auto"/>
        <w:right w:val="none" w:sz="0" w:space="0" w:color="auto"/>
      </w:divBdr>
    </w:div>
    <w:div w:id="803498602">
      <w:bodyDiv w:val="1"/>
      <w:marLeft w:val="0"/>
      <w:marRight w:val="0"/>
      <w:marTop w:val="0"/>
      <w:marBottom w:val="0"/>
      <w:divBdr>
        <w:top w:val="none" w:sz="0" w:space="0" w:color="auto"/>
        <w:left w:val="none" w:sz="0" w:space="0" w:color="auto"/>
        <w:bottom w:val="none" w:sz="0" w:space="0" w:color="auto"/>
        <w:right w:val="none" w:sz="0" w:space="0" w:color="auto"/>
      </w:divBdr>
    </w:div>
    <w:div w:id="803735987">
      <w:bodyDiv w:val="1"/>
      <w:marLeft w:val="0"/>
      <w:marRight w:val="0"/>
      <w:marTop w:val="0"/>
      <w:marBottom w:val="0"/>
      <w:divBdr>
        <w:top w:val="none" w:sz="0" w:space="0" w:color="auto"/>
        <w:left w:val="none" w:sz="0" w:space="0" w:color="auto"/>
        <w:bottom w:val="none" w:sz="0" w:space="0" w:color="auto"/>
        <w:right w:val="none" w:sz="0" w:space="0" w:color="auto"/>
      </w:divBdr>
    </w:div>
    <w:div w:id="822048356">
      <w:bodyDiv w:val="1"/>
      <w:marLeft w:val="0"/>
      <w:marRight w:val="0"/>
      <w:marTop w:val="0"/>
      <w:marBottom w:val="0"/>
      <w:divBdr>
        <w:top w:val="none" w:sz="0" w:space="0" w:color="auto"/>
        <w:left w:val="none" w:sz="0" w:space="0" w:color="auto"/>
        <w:bottom w:val="none" w:sz="0" w:space="0" w:color="auto"/>
        <w:right w:val="none" w:sz="0" w:space="0" w:color="auto"/>
      </w:divBdr>
    </w:div>
    <w:div w:id="834077358">
      <w:bodyDiv w:val="1"/>
      <w:marLeft w:val="0"/>
      <w:marRight w:val="0"/>
      <w:marTop w:val="0"/>
      <w:marBottom w:val="0"/>
      <w:divBdr>
        <w:top w:val="none" w:sz="0" w:space="0" w:color="auto"/>
        <w:left w:val="none" w:sz="0" w:space="0" w:color="auto"/>
        <w:bottom w:val="none" w:sz="0" w:space="0" w:color="auto"/>
        <w:right w:val="none" w:sz="0" w:space="0" w:color="auto"/>
      </w:divBdr>
    </w:div>
    <w:div w:id="847603386">
      <w:bodyDiv w:val="1"/>
      <w:marLeft w:val="0"/>
      <w:marRight w:val="0"/>
      <w:marTop w:val="0"/>
      <w:marBottom w:val="0"/>
      <w:divBdr>
        <w:top w:val="none" w:sz="0" w:space="0" w:color="auto"/>
        <w:left w:val="none" w:sz="0" w:space="0" w:color="auto"/>
        <w:bottom w:val="none" w:sz="0" w:space="0" w:color="auto"/>
        <w:right w:val="none" w:sz="0" w:space="0" w:color="auto"/>
      </w:divBdr>
    </w:div>
    <w:div w:id="884413874">
      <w:bodyDiv w:val="1"/>
      <w:marLeft w:val="0"/>
      <w:marRight w:val="0"/>
      <w:marTop w:val="0"/>
      <w:marBottom w:val="0"/>
      <w:divBdr>
        <w:top w:val="none" w:sz="0" w:space="0" w:color="auto"/>
        <w:left w:val="none" w:sz="0" w:space="0" w:color="auto"/>
        <w:bottom w:val="none" w:sz="0" w:space="0" w:color="auto"/>
        <w:right w:val="none" w:sz="0" w:space="0" w:color="auto"/>
      </w:divBdr>
    </w:div>
    <w:div w:id="917204391">
      <w:bodyDiv w:val="1"/>
      <w:marLeft w:val="0"/>
      <w:marRight w:val="0"/>
      <w:marTop w:val="0"/>
      <w:marBottom w:val="0"/>
      <w:divBdr>
        <w:top w:val="none" w:sz="0" w:space="0" w:color="auto"/>
        <w:left w:val="none" w:sz="0" w:space="0" w:color="auto"/>
        <w:bottom w:val="none" w:sz="0" w:space="0" w:color="auto"/>
        <w:right w:val="none" w:sz="0" w:space="0" w:color="auto"/>
      </w:divBdr>
    </w:div>
    <w:div w:id="919563248">
      <w:bodyDiv w:val="1"/>
      <w:marLeft w:val="0"/>
      <w:marRight w:val="0"/>
      <w:marTop w:val="0"/>
      <w:marBottom w:val="0"/>
      <w:divBdr>
        <w:top w:val="none" w:sz="0" w:space="0" w:color="auto"/>
        <w:left w:val="none" w:sz="0" w:space="0" w:color="auto"/>
        <w:bottom w:val="none" w:sz="0" w:space="0" w:color="auto"/>
        <w:right w:val="none" w:sz="0" w:space="0" w:color="auto"/>
      </w:divBdr>
    </w:div>
    <w:div w:id="978457751">
      <w:bodyDiv w:val="1"/>
      <w:marLeft w:val="0"/>
      <w:marRight w:val="0"/>
      <w:marTop w:val="0"/>
      <w:marBottom w:val="0"/>
      <w:divBdr>
        <w:top w:val="none" w:sz="0" w:space="0" w:color="auto"/>
        <w:left w:val="none" w:sz="0" w:space="0" w:color="auto"/>
        <w:bottom w:val="none" w:sz="0" w:space="0" w:color="auto"/>
        <w:right w:val="none" w:sz="0" w:space="0" w:color="auto"/>
      </w:divBdr>
    </w:div>
    <w:div w:id="1005740756">
      <w:bodyDiv w:val="1"/>
      <w:marLeft w:val="0"/>
      <w:marRight w:val="0"/>
      <w:marTop w:val="0"/>
      <w:marBottom w:val="0"/>
      <w:divBdr>
        <w:top w:val="none" w:sz="0" w:space="0" w:color="auto"/>
        <w:left w:val="none" w:sz="0" w:space="0" w:color="auto"/>
        <w:bottom w:val="none" w:sz="0" w:space="0" w:color="auto"/>
        <w:right w:val="none" w:sz="0" w:space="0" w:color="auto"/>
      </w:divBdr>
    </w:div>
    <w:div w:id="1118262259">
      <w:bodyDiv w:val="1"/>
      <w:marLeft w:val="0"/>
      <w:marRight w:val="0"/>
      <w:marTop w:val="0"/>
      <w:marBottom w:val="0"/>
      <w:divBdr>
        <w:top w:val="none" w:sz="0" w:space="0" w:color="auto"/>
        <w:left w:val="none" w:sz="0" w:space="0" w:color="auto"/>
        <w:bottom w:val="none" w:sz="0" w:space="0" w:color="auto"/>
        <w:right w:val="none" w:sz="0" w:space="0" w:color="auto"/>
      </w:divBdr>
    </w:div>
    <w:div w:id="1147479277">
      <w:bodyDiv w:val="1"/>
      <w:marLeft w:val="0"/>
      <w:marRight w:val="0"/>
      <w:marTop w:val="0"/>
      <w:marBottom w:val="0"/>
      <w:divBdr>
        <w:top w:val="none" w:sz="0" w:space="0" w:color="auto"/>
        <w:left w:val="none" w:sz="0" w:space="0" w:color="auto"/>
        <w:bottom w:val="none" w:sz="0" w:space="0" w:color="auto"/>
        <w:right w:val="none" w:sz="0" w:space="0" w:color="auto"/>
      </w:divBdr>
    </w:div>
    <w:div w:id="1161889363">
      <w:bodyDiv w:val="1"/>
      <w:marLeft w:val="0"/>
      <w:marRight w:val="0"/>
      <w:marTop w:val="0"/>
      <w:marBottom w:val="0"/>
      <w:divBdr>
        <w:top w:val="none" w:sz="0" w:space="0" w:color="auto"/>
        <w:left w:val="none" w:sz="0" w:space="0" w:color="auto"/>
        <w:bottom w:val="none" w:sz="0" w:space="0" w:color="auto"/>
        <w:right w:val="none" w:sz="0" w:space="0" w:color="auto"/>
      </w:divBdr>
    </w:div>
    <w:div w:id="1174536909">
      <w:bodyDiv w:val="1"/>
      <w:marLeft w:val="0"/>
      <w:marRight w:val="0"/>
      <w:marTop w:val="0"/>
      <w:marBottom w:val="0"/>
      <w:divBdr>
        <w:top w:val="none" w:sz="0" w:space="0" w:color="auto"/>
        <w:left w:val="none" w:sz="0" w:space="0" w:color="auto"/>
        <w:bottom w:val="none" w:sz="0" w:space="0" w:color="auto"/>
        <w:right w:val="none" w:sz="0" w:space="0" w:color="auto"/>
      </w:divBdr>
    </w:div>
    <w:div w:id="1179613907">
      <w:bodyDiv w:val="1"/>
      <w:marLeft w:val="0"/>
      <w:marRight w:val="0"/>
      <w:marTop w:val="0"/>
      <w:marBottom w:val="0"/>
      <w:divBdr>
        <w:top w:val="none" w:sz="0" w:space="0" w:color="auto"/>
        <w:left w:val="none" w:sz="0" w:space="0" w:color="auto"/>
        <w:bottom w:val="none" w:sz="0" w:space="0" w:color="auto"/>
        <w:right w:val="none" w:sz="0" w:space="0" w:color="auto"/>
      </w:divBdr>
    </w:div>
    <w:div w:id="1197158611">
      <w:bodyDiv w:val="1"/>
      <w:marLeft w:val="0"/>
      <w:marRight w:val="0"/>
      <w:marTop w:val="0"/>
      <w:marBottom w:val="0"/>
      <w:divBdr>
        <w:top w:val="none" w:sz="0" w:space="0" w:color="auto"/>
        <w:left w:val="none" w:sz="0" w:space="0" w:color="auto"/>
        <w:bottom w:val="none" w:sz="0" w:space="0" w:color="auto"/>
        <w:right w:val="none" w:sz="0" w:space="0" w:color="auto"/>
      </w:divBdr>
    </w:div>
    <w:div w:id="1199588690">
      <w:bodyDiv w:val="1"/>
      <w:marLeft w:val="0"/>
      <w:marRight w:val="0"/>
      <w:marTop w:val="0"/>
      <w:marBottom w:val="0"/>
      <w:divBdr>
        <w:top w:val="none" w:sz="0" w:space="0" w:color="auto"/>
        <w:left w:val="none" w:sz="0" w:space="0" w:color="auto"/>
        <w:bottom w:val="none" w:sz="0" w:space="0" w:color="auto"/>
        <w:right w:val="none" w:sz="0" w:space="0" w:color="auto"/>
      </w:divBdr>
    </w:div>
    <w:div w:id="1208375143">
      <w:bodyDiv w:val="1"/>
      <w:marLeft w:val="0"/>
      <w:marRight w:val="0"/>
      <w:marTop w:val="0"/>
      <w:marBottom w:val="0"/>
      <w:divBdr>
        <w:top w:val="none" w:sz="0" w:space="0" w:color="auto"/>
        <w:left w:val="none" w:sz="0" w:space="0" w:color="auto"/>
        <w:bottom w:val="none" w:sz="0" w:space="0" w:color="auto"/>
        <w:right w:val="none" w:sz="0" w:space="0" w:color="auto"/>
      </w:divBdr>
    </w:div>
    <w:div w:id="1212961800">
      <w:bodyDiv w:val="1"/>
      <w:marLeft w:val="0"/>
      <w:marRight w:val="0"/>
      <w:marTop w:val="0"/>
      <w:marBottom w:val="0"/>
      <w:divBdr>
        <w:top w:val="none" w:sz="0" w:space="0" w:color="auto"/>
        <w:left w:val="none" w:sz="0" w:space="0" w:color="auto"/>
        <w:bottom w:val="none" w:sz="0" w:space="0" w:color="auto"/>
        <w:right w:val="none" w:sz="0" w:space="0" w:color="auto"/>
      </w:divBdr>
    </w:div>
    <w:div w:id="1240754034">
      <w:bodyDiv w:val="1"/>
      <w:marLeft w:val="0"/>
      <w:marRight w:val="0"/>
      <w:marTop w:val="0"/>
      <w:marBottom w:val="0"/>
      <w:divBdr>
        <w:top w:val="none" w:sz="0" w:space="0" w:color="auto"/>
        <w:left w:val="none" w:sz="0" w:space="0" w:color="auto"/>
        <w:bottom w:val="none" w:sz="0" w:space="0" w:color="auto"/>
        <w:right w:val="none" w:sz="0" w:space="0" w:color="auto"/>
      </w:divBdr>
    </w:div>
    <w:div w:id="1323701595">
      <w:bodyDiv w:val="1"/>
      <w:marLeft w:val="0"/>
      <w:marRight w:val="0"/>
      <w:marTop w:val="0"/>
      <w:marBottom w:val="0"/>
      <w:divBdr>
        <w:top w:val="none" w:sz="0" w:space="0" w:color="auto"/>
        <w:left w:val="none" w:sz="0" w:space="0" w:color="auto"/>
        <w:bottom w:val="none" w:sz="0" w:space="0" w:color="auto"/>
        <w:right w:val="none" w:sz="0" w:space="0" w:color="auto"/>
      </w:divBdr>
    </w:div>
    <w:div w:id="1348022412">
      <w:bodyDiv w:val="1"/>
      <w:marLeft w:val="0"/>
      <w:marRight w:val="0"/>
      <w:marTop w:val="0"/>
      <w:marBottom w:val="0"/>
      <w:divBdr>
        <w:top w:val="none" w:sz="0" w:space="0" w:color="auto"/>
        <w:left w:val="none" w:sz="0" w:space="0" w:color="auto"/>
        <w:bottom w:val="none" w:sz="0" w:space="0" w:color="auto"/>
        <w:right w:val="none" w:sz="0" w:space="0" w:color="auto"/>
      </w:divBdr>
    </w:div>
    <w:div w:id="1481385633">
      <w:bodyDiv w:val="1"/>
      <w:marLeft w:val="0"/>
      <w:marRight w:val="0"/>
      <w:marTop w:val="0"/>
      <w:marBottom w:val="0"/>
      <w:divBdr>
        <w:top w:val="none" w:sz="0" w:space="0" w:color="auto"/>
        <w:left w:val="none" w:sz="0" w:space="0" w:color="auto"/>
        <w:bottom w:val="none" w:sz="0" w:space="0" w:color="auto"/>
        <w:right w:val="none" w:sz="0" w:space="0" w:color="auto"/>
      </w:divBdr>
    </w:div>
    <w:div w:id="1503163764">
      <w:bodyDiv w:val="1"/>
      <w:marLeft w:val="0"/>
      <w:marRight w:val="0"/>
      <w:marTop w:val="0"/>
      <w:marBottom w:val="0"/>
      <w:divBdr>
        <w:top w:val="none" w:sz="0" w:space="0" w:color="auto"/>
        <w:left w:val="none" w:sz="0" w:space="0" w:color="auto"/>
        <w:bottom w:val="none" w:sz="0" w:space="0" w:color="auto"/>
        <w:right w:val="none" w:sz="0" w:space="0" w:color="auto"/>
      </w:divBdr>
    </w:div>
    <w:div w:id="1511331428">
      <w:bodyDiv w:val="1"/>
      <w:marLeft w:val="0"/>
      <w:marRight w:val="0"/>
      <w:marTop w:val="0"/>
      <w:marBottom w:val="0"/>
      <w:divBdr>
        <w:top w:val="none" w:sz="0" w:space="0" w:color="auto"/>
        <w:left w:val="none" w:sz="0" w:space="0" w:color="auto"/>
        <w:bottom w:val="none" w:sz="0" w:space="0" w:color="auto"/>
        <w:right w:val="none" w:sz="0" w:space="0" w:color="auto"/>
      </w:divBdr>
    </w:div>
    <w:div w:id="1518931917">
      <w:bodyDiv w:val="1"/>
      <w:marLeft w:val="0"/>
      <w:marRight w:val="0"/>
      <w:marTop w:val="0"/>
      <w:marBottom w:val="0"/>
      <w:divBdr>
        <w:top w:val="none" w:sz="0" w:space="0" w:color="auto"/>
        <w:left w:val="none" w:sz="0" w:space="0" w:color="auto"/>
        <w:bottom w:val="none" w:sz="0" w:space="0" w:color="auto"/>
        <w:right w:val="none" w:sz="0" w:space="0" w:color="auto"/>
      </w:divBdr>
    </w:div>
    <w:div w:id="1579630001">
      <w:bodyDiv w:val="1"/>
      <w:marLeft w:val="0"/>
      <w:marRight w:val="0"/>
      <w:marTop w:val="0"/>
      <w:marBottom w:val="0"/>
      <w:divBdr>
        <w:top w:val="none" w:sz="0" w:space="0" w:color="auto"/>
        <w:left w:val="none" w:sz="0" w:space="0" w:color="auto"/>
        <w:bottom w:val="none" w:sz="0" w:space="0" w:color="auto"/>
        <w:right w:val="none" w:sz="0" w:space="0" w:color="auto"/>
      </w:divBdr>
    </w:div>
    <w:div w:id="1588493492">
      <w:bodyDiv w:val="1"/>
      <w:marLeft w:val="0"/>
      <w:marRight w:val="0"/>
      <w:marTop w:val="0"/>
      <w:marBottom w:val="0"/>
      <w:divBdr>
        <w:top w:val="none" w:sz="0" w:space="0" w:color="auto"/>
        <w:left w:val="none" w:sz="0" w:space="0" w:color="auto"/>
        <w:bottom w:val="none" w:sz="0" w:space="0" w:color="auto"/>
        <w:right w:val="none" w:sz="0" w:space="0" w:color="auto"/>
      </w:divBdr>
    </w:div>
    <w:div w:id="1632134153">
      <w:bodyDiv w:val="1"/>
      <w:marLeft w:val="0"/>
      <w:marRight w:val="0"/>
      <w:marTop w:val="0"/>
      <w:marBottom w:val="0"/>
      <w:divBdr>
        <w:top w:val="none" w:sz="0" w:space="0" w:color="auto"/>
        <w:left w:val="none" w:sz="0" w:space="0" w:color="auto"/>
        <w:bottom w:val="none" w:sz="0" w:space="0" w:color="auto"/>
        <w:right w:val="none" w:sz="0" w:space="0" w:color="auto"/>
      </w:divBdr>
    </w:div>
    <w:div w:id="1651906563">
      <w:bodyDiv w:val="1"/>
      <w:marLeft w:val="0"/>
      <w:marRight w:val="0"/>
      <w:marTop w:val="0"/>
      <w:marBottom w:val="0"/>
      <w:divBdr>
        <w:top w:val="none" w:sz="0" w:space="0" w:color="auto"/>
        <w:left w:val="none" w:sz="0" w:space="0" w:color="auto"/>
        <w:bottom w:val="none" w:sz="0" w:space="0" w:color="auto"/>
        <w:right w:val="none" w:sz="0" w:space="0" w:color="auto"/>
      </w:divBdr>
    </w:div>
    <w:div w:id="1710716400">
      <w:bodyDiv w:val="1"/>
      <w:marLeft w:val="0"/>
      <w:marRight w:val="0"/>
      <w:marTop w:val="0"/>
      <w:marBottom w:val="0"/>
      <w:divBdr>
        <w:top w:val="none" w:sz="0" w:space="0" w:color="auto"/>
        <w:left w:val="none" w:sz="0" w:space="0" w:color="auto"/>
        <w:bottom w:val="none" w:sz="0" w:space="0" w:color="auto"/>
        <w:right w:val="none" w:sz="0" w:space="0" w:color="auto"/>
      </w:divBdr>
    </w:div>
    <w:div w:id="1753504228">
      <w:bodyDiv w:val="1"/>
      <w:marLeft w:val="0"/>
      <w:marRight w:val="0"/>
      <w:marTop w:val="0"/>
      <w:marBottom w:val="0"/>
      <w:divBdr>
        <w:top w:val="none" w:sz="0" w:space="0" w:color="auto"/>
        <w:left w:val="none" w:sz="0" w:space="0" w:color="auto"/>
        <w:bottom w:val="none" w:sz="0" w:space="0" w:color="auto"/>
        <w:right w:val="none" w:sz="0" w:space="0" w:color="auto"/>
      </w:divBdr>
    </w:div>
    <w:div w:id="1777748658">
      <w:bodyDiv w:val="1"/>
      <w:marLeft w:val="0"/>
      <w:marRight w:val="0"/>
      <w:marTop w:val="0"/>
      <w:marBottom w:val="0"/>
      <w:divBdr>
        <w:top w:val="none" w:sz="0" w:space="0" w:color="auto"/>
        <w:left w:val="none" w:sz="0" w:space="0" w:color="auto"/>
        <w:bottom w:val="none" w:sz="0" w:space="0" w:color="auto"/>
        <w:right w:val="none" w:sz="0" w:space="0" w:color="auto"/>
      </w:divBdr>
    </w:div>
    <w:div w:id="1789658303">
      <w:bodyDiv w:val="1"/>
      <w:marLeft w:val="0"/>
      <w:marRight w:val="0"/>
      <w:marTop w:val="0"/>
      <w:marBottom w:val="0"/>
      <w:divBdr>
        <w:top w:val="none" w:sz="0" w:space="0" w:color="auto"/>
        <w:left w:val="none" w:sz="0" w:space="0" w:color="auto"/>
        <w:bottom w:val="none" w:sz="0" w:space="0" w:color="auto"/>
        <w:right w:val="none" w:sz="0" w:space="0" w:color="auto"/>
      </w:divBdr>
    </w:div>
    <w:div w:id="1810391789">
      <w:bodyDiv w:val="1"/>
      <w:marLeft w:val="0"/>
      <w:marRight w:val="0"/>
      <w:marTop w:val="0"/>
      <w:marBottom w:val="0"/>
      <w:divBdr>
        <w:top w:val="none" w:sz="0" w:space="0" w:color="auto"/>
        <w:left w:val="none" w:sz="0" w:space="0" w:color="auto"/>
        <w:bottom w:val="none" w:sz="0" w:space="0" w:color="auto"/>
        <w:right w:val="none" w:sz="0" w:space="0" w:color="auto"/>
      </w:divBdr>
    </w:div>
    <w:div w:id="1812358277">
      <w:bodyDiv w:val="1"/>
      <w:marLeft w:val="0"/>
      <w:marRight w:val="0"/>
      <w:marTop w:val="0"/>
      <w:marBottom w:val="0"/>
      <w:divBdr>
        <w:top w:val="none" w:sz="0" w:space="0" w:color="auto"/>
        <w:left w:val="none" w:sz="0" w:space="0" w:color="auto"/>
        <w:bottom w:val="none" w:sz="0" w:space="0" w:color="auto"/>
        <w:right w:val="none" w:sz="0" w:space="0" w:color="auto"/>
      </w:divBdr>
    </w:div>
    <w:div w:id="1835801756">
      <w:bodyDiv w:val="1"/>
      <w:marLeft w:val="0"/>
      <w:marRight w:val="0"/>
      <w:marTop w:val="0"/>
      <w:marBottom w:val="0"/>
      <w:divBdr>
        <w:top w:val="none" w:sz="0" w:space="0" w:color="auto"/>
        <w:left w:val="none" w:sz="0" w:space="0" w:color="auto"/>
        <w:bottom w:val="none" w:sz="0" w:space="0" w:color="auto"/>
        <w:right w:val="none" w:sz="0" w:space="0" w:color="auto"/>
      </w:divBdr>
    </w:div>
    <w:div w:id="1838769404">
      <w:bodyDiv w:val="1"/>
      <w:marLeft w:val="0"/>
      <w:marRight w:val="0"/>
      <w:marTop w:val="0"/>
      <w:marBottom w:val="0"/>
      <w:divBdr>
        <w:top w:val="none" w:sz="0" w:space="0" w:color="auto"/>
        <w:left w:val="none" w:sz="0" w:space="0" w:color="auto"/>
        <w:bottom w:val="none" w:sz="0" w:space="0" w:color="auto"/>
        <w:right w:val="none" w:sz="0" w:space="0" w:color="auto"/>
      </w:divBdr>
    </w:div>
    <w:div w:id="1888568372">
      <w:bodyDiv w:val="1"/>
      <w:marLeft w:val="0"/>
      <w:marRight w:val="0"/>
      <w:marTop w:val="0"/>
      <w:marBottom w:val="0"/>
      <w:divBdr>
        <w:top w:val="none" w:sz="0" w:space="0" w:color="auto"/>
        <w:left w:val="none" w:sz="0" w:space="0" w:color="auto"/>
        <w:bottom w:val="none" w:sz="0" w:space="0" w:color="auto"/>
        <w:right w:val="none" w:sz="0" w:space="0" w:color="auto"/>
      </w:divBdr>
    </w:div>
    <w:div w:id="1984578043">
      <w:bodyDiv w:val="1"/>
      <w:marLeft w:val="0"/>
      <w:marRight w:val="0"/>
      <w:marTop w:val="0"/>
      <w:marBottom w:val="0"/>
      <w:divBdr>
        <w:top w:val="none" w:sz="0" w:space="0" w:color="auto"/>
        <w:left w:val="none" w:sz="0" w:space="0" w:color="auto"/>
        <w:bottom w:val="none" w:sz="0" w:space="0" w:color="auto"/>
        <w:right w:val="none" w:sz="0" w:space="0" w:color="auto"/>
      </w:divBdr>
    </w:div>
    <w:div w:id="1991135886">
      <w:bodyDiv w:val="1"/>
      <w:marLeft w:val="0"/>
      <w:marRight w:val="0"/>
      <w:marTop w:val="0"/>
      <w:marBottom w:val="0"/>
      <w:divBdr>
        <w:top w:val="none" w:sz="0" w:space="0" w:color="auto"/>
        <w:left w:val="none" w:sz="0" w:space="0" w:color="auto"/>
        <w:bottom w:val="none" w:sz="0" w:space="0" w:color="auto"/>
        <w:right w:val="none" w:sz="0" w:space="0" w:color="auto"/>
      </w:divBdr>
    </w:div>
    <w:div w:id="2000496183">
      <w:bodyDiv w:val="1"/>
      <w:marLeft w:val="0"/>
      <w:marRight w:val="0"/>
      <w:marTop w:val="0"/>
      <w:marBottom w:val="0"/>
      <w:divBdr>
        <w:top w:val="none" w:sz="0" w:space="0" w:color="auto"/>
        <w:left w:val="none" w:sz="0" w:space="0" w:color="auto"/>
        <w:bottom w:val="none" w:sz="0" w:space="0" w:color="auto"/>
        <w:right w:val="none" w:sz="0" w:space="0" w:color="auto"/>
      </w:divBdr>
    </w:div>
    <w:div w:id="2018119339">
      <w:bodyDiv w:val="1"/>
      <w:marLeft w:val="0"/>
      <w:marRight w:val="0"/>
      <w:marTop w:val="0"/>
      <w:marBottom w:val="0"/>
      <w:divBdr>
        <w:top w:val="none" w:sz="0" w:space="0" w:color="auto"/>
        <w:left w:val="none" w:sz="0" w:space="0" w:color="auto"/>
        <w:bottom w:val="none" w:sz="0" w:space="0" w:color="auto"/>
        <w:right w:val="none" w:sz="0" w:space="0" w:color="auto"/>
      </w:divBdr>
    </w:div>
    <w:div w:id="2064711951">
      <w:bodyDiv w:val="1"/>
      <w:marLeft w:val="0"/>
      <w:marRight w:val="0"/>
      <w:marTop w:val="0"/>
      <w:marBottom w:val="0"/>
      <w:divBdr>
        <w:top w:val="none" w:sz="0" w:space="0" w:color="auto"/>
        <w:left w:val="none" w:sz="0" w:space="0" w:color="auto"/>
        <w:bottom w:val="none" w:sz="0" w:space="0" w:color="auto"/>
        <w:right w:val="none" w:sz="0" w:space="0" w:color="auto"/>
      </w:divBdr>
    </w:div>
    <w:div w:id="2110924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2027</Words>
  <Characters>11967</Characters>
  <Application>Microsoft Office Word</Application>
  <DocSecurity>0</DocSecurity>
  <Lines>881</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Yin</dc:creator>
  <cp:keywords/>
  <dc:description/>
  <cp:lastModifiedBy>Susan Rivo</cp:lastModifiedBy>
  <cp:revision>2</cp:revision>
  <cp:lastPrinted>2018-05-31T14:57:00Z</cp:lastPrinted>
  <dcterms:created xsi:type="dcterms:W3CDTF">2018-06-02T18:25:00Z</dcterms:created>
  <dcterms:modified xsi:type="dcterms:W3CDTF">2018-06-02T18:25:00Z</dcterms:modified>
</cp:coreProperties>
</file>