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836D" w14:textId="77777777" w:rsidR="007477C3" w:rsidRDefault="007477C3" w:rsidP="007477C3">
      <w:pPr>
        <w:ind w:right="90"/>
        <w:jc w:val="center"/>
        <w:rPr>
          <w:rFonts w:asciiTheme="majorHAnsi" w:hAnsiTheme="majorHAnsi" w:cstheme="majorHAnsi"/>
          <w:b/>
          <w:sz w:val="28"/>
          <w:szCs w:val="28"/>
        </w:rPr>
      </w:pPr>
    </w:p>
    <w:p w14:paraId="2B62CFEB" w14:textId="317C5FF8" w:rsidR="007477C3" w:rsidRDefault="00EC3449" w:rsidP="007477C3">
      <w:pPr>
        <w:ind w:right="90"/>
        <w:jc w:val="center"/>
        <w:rPr>
          <w:rFonts w:asciiTheme="majorHAnsi" w:hAnsiTheme="majorHAnsi" w:cstheme="majorHAnsi"/>
          <w:b/>
          <w:sz w:val="28"/>
          <w:szCs w:val="28"/>
        </w:rPr>
      </w:pPr>
      <w:r>
        <w:rPr>
          <w:noProof/>
        </w:rPr>
        <w:drawing>
          <wp:anchor distT="0" distB="0" distL="114300" distR="114300" simplePos="0" relativeHeight="251658240" behindDoc="0" locked="0" layoutInCell="1" allowOverlap="1" wp14:anchorId="1F32FADB" wp14:editId="03F26246">
            <wp:simplePos x="0" y="0"/>
            <wp:positionH relativeFrom="margin">
              <wp:align>center</wp:align>
            </wp:positionH>
            <wp:positionV relativeFrom="page">
              <wp:posOffset>1153160</wp:posOffset>
            </wp:positionV>
            <wp:extent cx="2512695" cy="342265"/>
            <wp:effectExtent l="0" t="0" r="190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logo_rgb_word-title-page.png"/>
                    <pic:cNvPicPr/>
                  </pic:nvPicPr>
                  <pic:blipFill>
                    <a:blip r:embed="rId11">
                      <a:extLst>
                        <a:ext uri="{28A0092B-C50C-407E-A947-70E740481C1C}">
                          <a14:useLocalDpi xmlns:a14="http://schemas.microsoft.com/office/drawing/2010/main" val="0"/>
                        </a:ext>
                      </a:extLst>
                    </a:blip>
                    <a:stretch>
                      <a:fillRect/>
                    </a:stretch>
                  </pic:blipFill>
                  <pic:spPr>
                    <a:xfrm>
                      <a:off x="0" y="0"/>
                      <a:ext cx="2512695" cy="3422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4116D4" w14:textId="4B58CFFD" w:rsidR="00862036" w:rsidRDefault="00862036" w:rsidP="007477C3">
      <w:pPr>
        <w:ind w:right="90"/>
        <w:jc w:val="center"/>
        <w:rPr>
          <w:rFonts w:asciiTheme="majorHAnsi" w:hAnsiTheme="majorHAnsi" w:cstheme="majorHAnsi"/>
          <w:b/>
          <w:sz w:val="28"/>
          <w:szCs w:val="28"/>
        </w:rPr>
      </w:pPr>
    </w:p>
    <w:p w14:paraId="29300553" w14:textId="32490C3B" w:rsidR="00862036" w:rsidRDefault="00862036" w:rsidP="007477C3">
      <w:pPr>
        <w:ind w:right="90"/>
        <w:jc w:val="center"/>
        <w:rPr>
          <w:rFonts w:asciiTheme="majorHAnsi" w:hAnsiTheme="majorHAnsi" w:cstheme="majorHAnsi"/>
          <w:b/>
          <w:sz w:val="28"/>
          <w:szCs w:val="28"/>
        </w:rPr>
      </w:pPr>
    </w:p>
    <w:p w14:paraId="37670D6C" w14:textId="077AC7D9" w:rsidR="00862036" w:rsidRDefault="00862036" w:rsidP="007477C3">
      <w:pPr>
        <w:ind w:right="90"/>
        <w:jc w:val="center"/>
        <w:rPr>
          <w:rFonts w:asciiTheme="majorHAnsi" w:hAnsiTheme="majorHAnsi" w:cstheme="majorHAnsi"/>
          <w:b/>
          <w:sz w:val="28"/>
          <w:szCs w:val="28"/>
        </w:rPr>
      </w:pPr>
    </w:p>
    <w:p w14:paraId="4E116892" w14:textId="77777777" w:rsidR="00D97923" w:rsidRDefault="00D97923" w:rsidP="007477C3">
      <w:pPr>
        <w:ind w:right="90"/>
        <w:jc w:val="center"/>
        <w:rPr>
          <w:rFonts w:asciiTheme="majorHAnsi" w:hAnsiTheme="majorHAnsi" w:cstheme="majorHAnsi"/>
          <w:b/>
          <w:sz w:val="28"/>
          <w:szCs w:val="28"/>
        </w:rPr>
      </w:pPr>
    </w:p>
    <w:p w14:paraId="77EF546D" w14:textId="77777777" w:rsidR="00D97923" w:rsidRDefault="00D97923" w:rsidP="007477C3">
      <w:pPr>
        <w:ind w:right="90"/>
        <w:jc w:val="center"/>
        <w:rPr>
          <w:rFonts w:asciiTheme="majorHAnsi" w:hAnsiTheme="majorHAnsi" w:cstheme="majorHAnsi"/>
          <w:b/>
          <w:sz w:val="28"/>
          <w:szCs w:val="28"/>
        </w:rPr>
      </w:pPr>
    </w:p>
    <w:p w14:paraId="0C517A9F" w14:textId="11AA2E84" w:rsidR="00862036" w:rsidRDefault="00C34D45" w:rsidP="007477C3">
      <w:pPr>
        <w:ind w:right="90"/>
        <w:jc w:val="center"/>
        <w:rPr>
          <w:rFonts w:asciiTheme="majorHAnsi" w:hAnsiTheme="majorHAnsi" w:cstheme="majorHAnsi"/>
          <w:b/>
          <w:sz w:val="28"/>
          <w:szCs w:val="28"/>
        </w:rPr>
      </w:pPr>
      <w:r>
        <w:rPr>
          <w:rFonts w:asciiTheme="majorHAnsi" w:hAnsiTheme="majorHAnsi" w:cstheme="majorHAnsi"/>
          <w:b/>
          <w:sz w:val="28"/>
          <w:szCs w:val="28"/>
        </w:rPr>
        <w:t>[</w:t>
      </w:r>
      <w:r w:rsidR="00DC46C2">
        <w:rPr>
          <w:rFonts w:asciiTheme="majorHAnsi" w:hAnsiTheme="majorHAnsi" w:cstheme="majorHAnsi"/>
          <w:b/>
          <w:sz w:val="28"/>
          <w:szCs w:val="28"/>
        </w:rPr>
        <w:t>PG&amp;E Logo</w:t>
      </w:r>
      <w:r>
        <w:rPr>
          <w:rFonts w:asciiTheme="majorHAnsi" w:hAnsiTheme="majorHAnsi" w:cstheme="majorHAnsi"/>
          <w:b/>
          <w:sz w:val="28"/>
          <w:szCs w:val="28"/>
        </w:rPr>
        <w:t xml:space="preserve"> to be added</w:t>
      </w:r>
      <w:r w:rsidR="008D0EBF">
        <w:rPr>
          <w:rFonts w:asciiTheme="majorHAnsi" w:hAnsiTheme="majorHAnsi" w:cstheme="majorHAnsi"/>
          <w:b/>
          <w:sz w:val="28"/>
          <w:szCs w:val="28"/>
        </w:rPr>
        <w:t xml:space="preserve"> 12/1]</w:t>
      </w:r>
    </w:p>
    <w:p w14:paraId="3ACEFD96" w14:textId="77777777" w:rsidR="00862036" w:rsidRDefault="00862036" w:rsidP="007477C3">
      <w:pPr>
        <w:ind w:right="90"/>
        <w:jc w:val="center"/>
        <w:rPr>
          <w:rFonts w:asciiTheme="majorHAnsi" w:hAnsiTheme="majorHAnsi" w:cstheme="majorHAnsi"/>
          <w:b/>
          <w:sz w:val="28"/>
          <w:szCs w:val="28"/>
        </w:rPr>
      </w:pPr>
    </w:p>
    <w:p w14:paraId="102A8C66" w14:textId="77777777" w:rsidR="00862036" w:rsidRDefault="00862036" w:rsidP="007477C3">
      <w:pPr>
        <w:ind w:right="90"/>
        <w:jc w:val="center"/>
        <w:rPr>
          <w:rFonts w:asciiTheme="majorHAnsi" w:hAnsiTheme="majorHAnsi" w:cstheme="majorHAnsi"/>
          <w:b/>
          <w:sz w:val="28"/>
          <w:szCs w:val="28"/>
        </w:rPr>
      </w:pPr>
    </w:p>
    <w:p w14:paraId="1541190B" w14:textId="707DD5B9" w:rsidR="007477C3" w:rsidRDefault="007477C3" w:rsidP="00B156AF">
      <w:pPr>
        <w:jc w:val="center"/>
      </w:pPr>
    </w:p>
    <w:p w14:paraId="7A86C250" w14:textId="1ED95DCB" w:rsidR="007477C3" w:rsidRDefault="007477C3" w:rsidP="007477C3"/>
    <w:p w14:paraId="54E187F1" w14:textId="6B291844" w:rsidR="007477C3" w:rsidRDefault="007477C3" w:rsidP="00D97923">
      <w:pPr>
        <w:jc w:val="center"/>
      </w:pPr>
    </w:p>
    <w:p w14:paraId="7A969B6F" w14:textId="12ECFEBA" w:rsidR="009B463C" w:rsidRDefault="009B463C" w:rsidP="007477C3"/>
    <w:p w14:paraId="4F498CAB" w14:textId="0CF045CC" w:rsidR="007477C3" w:rsidRDefault="007477C3" w:rsidP="007477C3"/>
    <w:p w14:paraId="30B7FEF8" w14:textId="0E1AC395" w:rsidR="007477C3" w:rsidRDefault="007477C3" w:rsidP="007477C3"/>
    <w:p w14:paraId="00B0742D" w14:textId="0C65833F" w:rsidR="007477C3" w:rsidRDefault="007477C3" w:rsidP="007477C3"/>
    <w:p w14:paraId="21EA8A96" w14:textId="77777777" w:rsidR="007477C3" w:rsidRPr="007477C3" w:rsidRDefault="007477C3" w:rsidP="007477C3"/>
    <w:p w14:paraId="7B9E8BAE" w14:textId="7D153D0F" w:rsidR="00167C0C" w:rsidRPr="007477C3" w:rsidRDefault="00167C0C" w:rsidP="00167C0C">
      <w:pPr>
        <w:pStyle w:val="Title"/>
        <w:ind w:right="90"/>
        <w:jc w:val="center"/>
        <w:rPr>
          <w:color w:val="auto"/>
          <w:sz w:val="44"/>
        </w:rPr>
      </w:pPr>
    </w:p>
    <w:p w14:paraId="0C619ABC" w14:textId="77777777" w:rsidR="00167C0C" w:rsidRDefault="00167C0C" w:rsidP="00167C0C">
      <w:pPr>
        <w:pStyle w:val="Title"/>
        <w:ind w:right="90"/>
        <w:jc w:val="center"/>
        <w:rPr>
          <w:color w:val="auto"/>
          <w:sz w:val="44"/>
        </w:rPr>
      </w:pPr>
      <w:r w:rsidRPr="007477C3">
        <w:rPr>
          <w:color w:val="auto"/>
          <w:sz w:val="44"/>
        </w:rPr>
        <w:t>Business Energy Performance Program</w:t>
      </w:r>
    </w:p>
    <w:p w14:paraId="086763C4" w14:textId="498CD527" w:rsidR="00512252" w:rsidRDefault="00512252" w:rsidP="00167C0C">
      <w:pPr>
        <w:pStyle w:val="Title"/>
        <w:ind w:right="90"/>
        <w:jc w:val="center"/>
        <w:rPr>
          <w:color w:val="auto"/>
          <w:sz w:val="32"/>
          <w:szCs w:val="40"/>
        </w:rPr>
      </w:pPr>
    </w:p>
    <w:p w14:paraId="25D33C53" w14:textId="77777777" w:rsidR="00C85BA7" w:rsidRPr="00D97923" w:rsidRDefault="00C85BA7" w:rsidP="00D97923"/>
    <w:p w14:paraId="2A17DE21" w14:textId="016B08B5" w:rsidR="007477C3" w:rsidRDefault="007477C3" w:rsidP="007477C3">
      <w:pPr>
        <w:pStyle w:val="Title"/>
        <w:ind w:right="90"/>
        <w:jc w:val="center"/>
        <w:rPr>
          <w:color w:val="auto"/>
          <w:sz w:val="44"/>
        </w:rPr>
      </w:pPr>
    </w:p>
    <w:p w14:paraId="19C736CD" w14:textId="77777777" w:rsidR="00167C0C" w:rsidRPr="00D97923" w:rsidRDefault="00167C0C" w:rsidP="00D97923"/>
    <w:p w14:paraId="690BE0BD" w14:textId="68218BE0" w:rsidR="00712AD6" w:rsidRPr="00862036" w:rsidRDefault="007477C3" w:rsidP="007477C3">
      <w:pPr>
        <w:pStyle w:val="Title"/>
        <w:ind w:right="90"/>
        <w:jc w:val="center"/>
        <w:rPr>
          <w:color w:val="auto"/>
          <w:sz w:val="48"/>
          <w:szCs w:val="56"/>
        </w:rPr>
      </w:pPr>
      <w:r w:rsidRPr="00862036">
        <w:rPr>
          <w:color w:val="auto"/>
          <w:sz w:val="72"/>
          <w:szCs w:val="144"/>
        </w:rPr>
        <w:t>Implementation</w:t>
      </w:r>
      <w:r w:rsidRPr="00862036">
        <w:rPr>
          <w:color w:val="auto"/>
          <w:sz w:val="48"/>
          <w:szCs w:val="56"/>
        </w:rPr>
        <w:t xml:space="preserve"> </w:t>
      </w:r>
      <w:r w:rsidRPr="00862036">
        <w:rPr>
          <w:color w:val="auto"/>
          <w:sz w:val="72"/>
          <w:szCs w:val="144"/>
        </w:rPr>
        <w:t>Plan</w:t>
      </w:r>
    </w:p>
    <w:p w14:paraId="0A7BCEC6" w14:textId="77777777" w:rsidR="00167C0C" w:rsidRDefault="00167C0C" w:rsidP="009B463C">
      <w:pPr>
        <w:pStyle w:val="ACoverDate"/>
        <w:ind w:right="90"/>
        <w:jc w:val="center"/>
        <w:rPr>
          <w:color w:val="000000" w:themeColor="text1"/>
          <w:sz w:val="28"/>
          <w:szCs w:val="40"/>
        </w:rPr>
      </w:pPr>
    </w:p>
    <w:p w14:paraId="07B9B4F7" w14:textId="5E6ECFC7" w:rsidR="00B26C87" w:rsidRPr="009B463C" w:rsidRDefault="007477C3" w:rsidP="009B463C">
      <w:pPr>
        <w:pStyle w:val="ACoverDate"/>
        <w:ind w:right="90"/>
        <w:jc w:val="center"/>
        <w:rPr>
          <w:color w:val="000000" w:themeColor="text1"/>
          <w:sz w:val="28"/>
          <w:szCs w:val="40"/>
        </w:rPr>
      </w:pPr>
      <w:r w:rsidRPr="009B463C">
        <w:rPr>
          <w:color w:val="000000" w:themeColor="text1"/>
          <w:sz w:val="28"/>
          <w:szCs w:val="40"/>
        </w:rPr>
        <w:t>December</w:t>
      </w:r>
      <w:r w:rsidR="00C772FB" w:rsidRPr="009B463C">
        <w:rPr>
          <w:color w:val="000000" w:themeColor="text1"/>
          <w:sz w:val="28"/>
          <w:szCs w:val="40"/>
        </w:rPr>
        <w:t xml:space="preserve"> </w:t>
      </w:r>
      <w:r w:rsidR="009B463C" w:rsidRPr="009B463C">
        <w:rPr>
          <w:color w:val="000000" w:themeColor="text1"/>
          <w:sz w:val="28"/>
          <w:szCs w:val="40"/>
        </w:rPr>
        <w:t>7,</w:t>
      </w:r>
      <w:r w:rsidR="00C772FB" w:rsidRPr="009B463C">
        <w:rPr>
          <w:color w:val="000000" w:themeColor="text1"/>
          <w:sz w:val="28"/>
          <w:szCs w:val="40"/>
        </w:rPr>
        <w:t xml:space="preserve"> 20</w:t>
      </w:r>
      <w:r w:rsidR="009B463C" w:rsidRPr="009B463C">
        <w:rPr>
          <w:color w:val="000000" w:themeColor="text1"/>
          <w:sz w:val="28"/>
          <w:szCs w:val="40"/>
        </w:rPr>
        <w:t>20</w:t>
      </w:r>
    </w:p>
    <w:p w14:paraId="2AFDC271" w14:textId="31E32CA0" w:rsidR="009B463C" w:rsidRPr="00862036" w:rsidRDefault="009B463C" w:rsidP="00862036">
      <w:pPr>
        <w:pStyle w:val="ACoverDate"/>
        <w:ind w:right="90"/>
        <w:jc w:val="center"/>
        <w:rPr>
          <w:color w:val="000000" w:themeColor="text1"/>
          <w:sz w:val="28"/>
          <w:szCs w:val="40"/>
        </w:rPr>
      </w:pPr>
      <w:r w:rsidRPr="009B463C">
        <w:rPr>
          <w:color w:val="000000" w:themeColor="text1"/>
          <w:sz w:val="28"/>
          <w:szCs w:val="40"/>
        </w:rPr>
        <w:t>Version 1.0</w:t>
      </w:r>
    </w:p>
    <w:p w14:paraId="382AD65F" w14:textId="77777777" w:rsidR="009B463C" w:rsidRPr="00691194" w:rsidRDefault="009B463C" w:rsidP="00FB3C20">
      <w:pPr>
        <w:rPr>
          <w:color w:val="000000" w:themeColor="text1"/>
        </w:rPr>
      </w:pPr>
    </w:p>
    <w:sdt>
      <w:sdtPr>
        <w:rPr>
          <w:rFonts w:ascii="Arial" w:eastAsiaTheme="minorHAnsi" w:hAnsi="Arial" w:cstheme="minorBidi"/>
          <w:b/>
          <w:bCs w:val="0"/>
          <w:color w:val="auto"/>
          <w:sz w:val="18"/>
          <w:szCs w:val="22"/>
          <w:lang w:eastAsia="en-US"/>
        </w:rPr>
        <w:id w:val="-1930029389"/>
        <w:docPartObj>
          <w:docPartGallery w:val="Table of Contents"/>
          <w:docPartUnique/>
        </w:docPartObj>
      </w:sdtPr>
      <w:sdtEndPr>
        <w:rPr>
          <w:b w:val="0"/>
          <w:noProof/>
          <w:color w:val="000000" w:themeColor="text1"/>
        </w:rPr>
      </w:sdtEndPr>
      <w:sdtContent>
        <w:p w14:paraId="50AB645B" w14:textId="77777777" w:rsidR="00B13D8E" w:rsidRPr="00E71747" w:rsidRDefault="00B13D8E" w:rsidP="00E71747">
          <w:pPr>
            <w:pStyle w:val="TOCHeading"/>
          </w:pPr>
          <w:r w:rsidRPr="00E71747">
            <w:t>Table of Contents</w:t>
          </w:r>
          <w:r w:rsidR="0081721C" w:rsidRPr="00E71747">
            <w:t xml:space="preserve"> </w:t>
          </w:r>
        </w:p>
        <w:p w14:paraId="2F19675F" w14:textId="1A073D20" w:rsidR="00953AA1" w:rsidRDefault="0081721C">
          <w:pPr>
            <w:pStyle w:val="TOC1"/>
            <w:rPr>
              <w:rFonts w:eastAsiaTheme="minorEastAsia" w:cstheme="minorBidi"/>
              <w:b w:val="0"/>
              <w:noProof/>
              <w:color w:val="auto"/>
              <w:sz w:val="22"/>
              <w:szCs w:val="22"/>
            </w:rPr>
          </w:pPr>
          <w:r w:rsidRPr="00691194">
            <w:rPr>
              <w:color w:val="000000" w:themeColor="text1"/>
              <w:sz w:val="22"/>
              <w:szCs w:val="20"/>
            </w:rPr>
            <w:fldChar w:fldCharType="begin"/>
          </w:r>
          <w:r w:rsidRPr="00691194">
            <w:rPr>
              <w:color w:val="000000" w:themeColor="text1"/>
              <w:sz w:val="22"/>
              <w:szCs w:val="20"/>
            </w:rPr>
            <w:instrText xml:space="preserve"> TOC \o "1-3" \f </w:instrText>
          </w:r>
          <w:r w:rsidRPr="00691194">
            <w:rPr>
              <w:color w:val="000000" w:themeColor="text1"/>
              <w:sz w:val="22"/>
              <w:szCs w:val="20"/>
            </w:rPr>
            <w:fldChar w:fldCharType="separate"/>
          </w:r>
          <w:r w:rsidR="00953AA1">
            <w:rPr>
              <w:noProof/>
            </w:rPr>
            <w:t>Program Overview</w:t>
          </w:r>
          <w:r w:rsidR="00953AA1">
            <w:rPr>
              <w:noProof/>
            </w:rPr>
            <w:tab/>
          </w:r>
          <w:r w:rsidR="00953AA1">
            <w:rPr>
              <w:noProof/>
            </w:rPr>
            <w:fldChar w:fldCharType="begin"/>
          </w:r>
          <w:r w:rsidR="00953AA1">
            <w:rPr>
              <w:noProof/>
            </w:rPr>
            <w:instrText xml:space="preserve"> PAGEREF _Toc57653943 \h </w:instrText>
          </w:r>
          <w:r w:rsidR="00953AA1">
            <w:rPr>
              <w:noProof/>
            </w:rPr>
          </w:r>
          <w:r w:rsidR="00953AA1">
            <w:rPr>
              <w:noProof/>
            </w:rPr>
            <w:fldChar w:fldCharType="separate"/>
          </w:r>
          <w:r w:rsidR="00953AA1">
            <w:rPr>
              <w:noProof/>
            </w:rPr>
            <w:t>3</w:t>
          </w:r>
          <w:r w:rsidR="00953AA1">
            <w:rPr>
              <w:noProof/>
            </w:rPr>
            <w:fldChar w:fldCharType="end"/>
          </w:r>
        </w:p>
        <w:p w14:paraId="7C9F8638" w14:textId="4E6D8496" w:rsidR="00953AA1" w:rsidRDefault="00953AA1">
          <w:pPr>
            <w:pStyle w:val="TOC1"/>
            <w:rPr>
              <w:rFonts w:eastAsiaTheme="minorEastAsia" w:cstheme="minorBidi"/>
              <w:b w:val="0"/>
              <w:noProof/>
              <w:color w:val="auto"/>
              <w:sz w:val="22"/>
              <w:szCs w:val="22"/>
            </w:rPr>
          </w:pPr>
          <w:r>
            <w:rPr>
              <w:noProof/>
            </w:rPr>
            <w:t>Program Budget and Savings</w:t>
          </w:r>
          <w:r>
            <w:rPr>
              <w:noProof/>
            </w:rPr>
            <w:tab/>
          </w:r>
          <w:r>
            <w:rPr>
              <w:noProof/>
            </w:rPr>
            <w:fldChar w:fldCharType="begin"/>
          </w:r>
          <w:r>
            <w:rPr>
              <w:noProof/>
            </w:rPr>
            <w:instrText xml:space="preserve"> PAGEREF _Toc57653944 \h </w:instrText>
          </w:r>
          <w:r>
            <w:rPr>
              <w:noProof/>
            </w:rPr>
          </w:r>
          <w:r>
            <w:rPr>
              <w:noProof/>
            </w:rPr>
            <w:fldChar w:fldCharType="separate"/>
          </w:r>
          <w:r>
            <w:rPr>
              <w:noProof/>
            </w:rPr>
            <w:t>3</w:t>
          </w:r>
          <w:r>
            <w:rPr>
              <w:noProof/>
            </w:rPr>
            <w:fldChar w:fldCharType="end"/>
          </w:r>
        </w:p>
        <w:p w14:paraId="0EED02F7" w14:textId="0A03EA0E" w:rsidR="00953AA1" w:rsidRDefault="00953AA1">
          <w:pPr>
            <w:pStyle w:val="TOC2"/>
            <w:rPr>
              <w:rFonts w:eastAsiaTheme="minorEastAsia" w:cstheme="minorBidi"/>
              <w:noProof/>
              <w:color w:val="auto"/>
            </w:rPr>
          </w:pPr>
          <w:r>
            <w:rPr>
              <w:noProof/>
            </w:rPr>
            <w:t>1. Program and/or Sub-Program Name</w:t>
          </w:r>
          <w:r>
            <w:rPr>
              <w:noProof/>
            </w:rPr>
            <w:tab/>
          </w:r>
          <w:r>
            <w:rPr>
              <w:noProof/>
            </w:rPr>
            <w:fldChar w:fldCharType="begin"/>
          </w:r>
          <w:r>
            <w:rPr>
              <w:noProof/>
            </w:rPr>
            <w:instrText xml:space="preserve"> PAGEREF _Toc57653945 \h </w:instrText>
          </w:r>
          <w:r>
            <w:rPr>
              <w:noProof/>
            </w:rPr>
          </w:r>
          <w:r>
            <w:rPr>
              <w:noProof/>
            </w:rPr>
            <w:fldChar w:fldCharType="separate"/>
          </w:r>
          <w:r>
            <w:rPr>
              <w:noProof/>
            </w:rPr>
            <w:t>3</w:t>
          </w:r>
          <w:r>
            <w:rPr>
              <w:noProof/>
            </w:rPr>
            <w:fldChar w:fldCharType="end"/>
          </w:r>
        </w:p>
        <w:p w14:paraId="35977182" w14:textId="05AF0616" w:rsidR="00953AA1" w:rsidRDefault="00953AA1">
          <w:pPr>
            <w:pStyle w:val="TOC2"/>
            <w:rPr>
              <w:rFonts w:eastAsiaTheme="minorEastAsia" w:cstheme="minorBidi"/>
              <w:noProof/>
              <w:color w:val="auto"/>
            </w:rPr>
          </w:pPr>
          <w:r>
            <w:rPr>
              <w:noProof/>
            </w:rPr>
            <w:t>2. Program / Sub-Program ID number</w:t>
          </w:r>
          <w:r>
            <w:rPr>
              <w:noProof/>
            </w:rPr>
            <w:tab/>
          </w:r>
          <w:r>
            <w:rPr>
              <w:noProof/>
            </w:rPr>
            <w:fldChar w:fldCharType="begin"/>
          </w:r>
          <w:r>
            <w:rPr>
              <w:noProof/>
            </w:rPr>
            <w:instrText xml:space="preserve"> PAGEREF _Toc57653946 \h </w:instrText>
          </w:r>
          <w:r>
            <w:rPr>
              <w:noProof/>
            </w:rPr>
          </w:r>
          <w:r>
            <w:rPr>
              <w:noProof/>
            </w:rPr>
            <w:fldChar w:fldCharType="separate"/>
          </w:r>
          <w:r>
            <w:rPr>
              <w:noProof/>
            </w:rPr>
            <w:t>3</w:t>
          </w:r>
          <w:r>
            <w:rPr>
              <w:noProof/>
            </w:rPr>
            <w:fldChar w:fldCharType="end"/>
          </w:r>
        </w:p>
        <w:p w14:paraId="0DEA4F69" w14:textId="7B23A987" w:rsidR="00953AA1" w:rsidRDefault="00953AA1">
          <w:pPr>
            <w:pStyle w:val="TOC2"/>
            <w:rPr>
              <w:rFonts w:eastAsiaTheme="minorEastAsia" w:cstheme="minorBidi"/>
              <w:noProof/>
              <w:color w:val="auto"/>
            </w:rPr>
          </w:pPr>
          <w:r>
            <w:rPr>
              <w:noProof/>
            </w:rPr>
            <w:t>3. Program / Sub-program Budget Table</w:t>
          </w:r>
          <w:r>
            <w:rPr>
              <w:noProof/>
            </w:rPr>
            <w:tab/>
          </w:r>
          <w:r>
            <w:rPr>
              <w:noProof/>
            </w:rPr>
            <w:fldChar w:fldCharType="begin"/>
          </w:r>
          <w:r>
            <w:rPr>
              <w:noProof/>
            </w:rPr>
            <w:instrText xml:space="preserve"> PAGEREF _Toc57653947 \h </w:instrText>
          </w:r>
          <w:r>
            <w:rPr>
              <w:noProof/>
            </w:rPr>
          </w:r>
          <w:r>
            <w:rPr>
              <w:noProof/>
            </w:rPr>
            <w:fldChar w:fldCharType="separate"/>
          </w:r>
          <w:r>
            <w:rPr>
              <w:noProof/>
            </w:rPr>
            <w:t>3</w:t>
          </w:r>
          <w:r>
            <w:rPr>
              <w:noProof/>
            </w:rPr>
            <w:fldChar w:fldCharType="end"/>
          </w:r>
        </w:p>
        <w:p w14:paraId="70F5380C" w14:textId="0D902540" w:rsidR="00953AA1" w:rsidRDefault="00953AA1">
          <w:pPr>
            <w:pStyle w:val="TOC2"/>
            <w:rPr>
              <w:rFonts w:eastAsiaTheme="minorEastAsia" w:cstheme="minorBidi"/>
              <w:noProof/>
              <w:color w:val="auto"/>
            </w:rPr>
          </w:pPr>
          <w:r>
            <w:rPr>
              <w:noProof/>
            </w:rPr>
            <w:t>4. Program / Sub-Program Gross impacts table</w:t>
          </w:r>
          <w:r>
            <w:rPr>
              <w:noProof/>
            </w:rPr>
            <w:tab/>
          </w:r>
          <w:r>
            <w:rPr>
              <w:noProof/>
            </w:rPr>
            <w:fldChar w:fldCharType="begin"/>
          </w:r>
          <w:r>
            <w:rPr>
              <w:noProof/>
            </w:rPr>
            <w:instrText xml:space="preserve"> PAGEREF _Toc57653948 \h </w:instrText>
          </w:r>
          <w:r>
            <w:rPr>
              <w:noProof/>
            </w:rPr>
          </w:r>
          <w:r>
            <w:rPr>
              <w:noProof/>
            </w:rPr>
            <w:fldChar w:fldCharType="separate"/>
          </w:r>
          <w:r>
            <w:rPr>
              <w:noProof/>
            </w:rPr>
            <w:t>3</w:t>
          </w:r>
          <w:r>
            <w:rPr>
              <w:noProof/>
            </w:rPr>
            <w:fldChar w:fldCharType="end"/>
          </w:r>
        </w:p>
        <w:p w14:paraId="0A741A73" w14:textId="4659C255" w:rsidR="00953AA1" w:rsidRDefault="00953AA1">
          <w:pPr>
            <w:pStyle w:val="TOC2"/>
            <w:rPr>
              <w:rFonts w:eastAsiaTheme="minorEastAsia" w:cstheme="minorBidi"/>
              <w:noProof/>
              <w:color w:val="auto"/>
            </w:rPr>
          </w:pPr>
          <w:r>
            <w:rPr>
              <w:noProof/>
            </w:rPr>
            <w:t>5. program / Sub-Program Cost Effectiveness (TRC)</w:t>
          </w:r>
          <w:r>
            <w:rPr>
              <w:noProof/>
            </w:rPr>
            <w:tab/>
          </w:r>
          <w:r>
            <w:rPr>
              <w:noProof/>
            </w:rPr>
            <w:fldChar w:fldCharType="begin"/>
          </w:r>
          <w:r>
            <w:rPr>
              <w:noProof/>
            </w:rPr>
            <w:instrText xml:space="preserve"> PAGEREF _Toc57653949 \h </w:instrText>
          </w:r>
          <w:r>
            <w:rPr>
              <w:noProof/>
            </w:rPr>
          </w:r>
          <w:r>
            <w:rPr>
              <w:noProof/>
            </w:rPr>
            <w:fldChar w:fldCharType="separate"/>
          </w:r>
          <w:r>
            <w:rPr>
              <w:noProof/>
            </w:rPr>
            <w:t>3</w:t>
          </w:r>
          <w:r>
            <w:rPr>
              <w:noProof/>
            </w:rPr>
            <w:fldChar w:fldCharType="end"/>
          </w:r>
        </w:p>
        <w:p w14:paraId="23276B72" w14:textId="0B008EC1" w:rsidR="00953AA1" w:rsidRDefault="00953AA1">
          <w:pPr>
            <w:pStyle w:val="TOC2"/>
            <w:rPr>
              <w:rFonts w:eastAsiaTheme="minorEastAsia" w:cstheme="minorBidi"/>
              <w:noProof/>
              <w:color w:val="auto"/>
            </w:rPr>
          </w:pPr>
          <w:r>
            <w:rPr>
              <w:noProof/>
            </w:rPr>
            <w:t>6. program / Sub-Program Cost Effectiveness (PAC)</w:t>
          </w:r>
          <w:r>
            <w:rPr>
              <w:noProof/>
            </w:rPr>
            <w:tab/>
          </w:r>
          <w:r>
            <w:rPr>
              <w:noProof/>
            </w:rPr>
            <w:fldChar w:fldCharType="begin"/>
          </w:r>
          <w:r>
            <w:rPr>
              <w:noProof/>
            </w:rPr>
            <w:instrText xml:space="preserve"> PAGEREF _Toc57653950 \h </w:instrText>
          </w:r>
          <w:r>
            <w:rPr>
              <w:noProof/>
            </w:rPr>
          </w:r>
          <w:r>
            <w:rPr>
              <w:noProof/>
            </w:rPr>
            <w:fldChar w:fldCharType="separate"/>
          </w:r>
          <w:r>
            <w:rPr>
              <w:noProof/>
            </w:rPr>
            <w:t>4</w:t>
          </w:r>
          <w:r>
            <w:rPr>
              <w:noProof/>
            </w:rPr>
            <w:fldChar w:fldCharType="end"/>
          </w:r>
        </w:p>
        <w:p w14:paraId="3A51BAB3" w14:textId="5997C871" w:rsidR="00953AA1" w:rsidRDefault="00953AA1">
          <w:pPr>
            <w:pStyle w:val="TOC2"/>
            <w:rPr>
              <w:rFonts w:eastAsiaTheme="minorEastAsia" w:cstheme="minorBidi"/>
              <w:noProof/>
              <w:color w:val="auto"/>
            </w:rPr>
          </w:pPr>
          <w:r>
            <w:rPr>
              <w:noProof/>
            </w:rPr>
            <w:t>7. Type of Program / sub-program implementer</w:t>
          </w:r>
          <w:r>
            <w:rPr>
              <w:noProof/>
            </w:rPr>
            <w:tab/>
          </w:r>
          <w:r>
            <w:rPr>
              <w:noProof/>
            </w:rPr>
            <w:fldChar w:fldCharType="begin"/>
          </w:r>
          <w:r>
            <w:rPr>
              <w:noProof/>
            </w:rPr>
            <w:instrText xml:space="preserve"> PAGEREF _Toc57653951 \h </w:instrText>
          </w:r>
          <w:r>
            <w:rPr>
              <w:noProof/>
            </w:rPr>
          </w:r>
          <w:r>
            <w:rPr>
              <w:noProof/>
            </w:rPr>
            <w:fldChar w:fldCharType="separate"/>
          </w:r>
          <w:r>
            <w:rPr>
              <w:noProof/>
            </w:rPr>
            <w:t>4</w:t>
          </w:r>
          <w:r>
            <w:rPr>
              <w:noProof/>
            </w:rPr>
            <w:fldChar w:fldCharType="end"/>
          </w:r>
        </w:p>
        <w:p w14:paraId="6C742709" w14:textId="74605179" w:rsidR="00953AA1" w:rsidRDefault="00953AA1">
          <w:pPr>
            <w:pStyle w:val="TOC2"/>
            <w:rPr>
              <w:rFonts w:eastAsiaTheme="minorEastAsia" w:cstheme="minorBidi"/>
              <w:noProof/>
              <w:color w:val="auto"/>
            </w:rPr>
          </w:pPr>
          <w:r>
            <w:rPr>
              <w:noProof/>
            </w:rPr>
            <w:t>8. Market Sector(S)</w:t>
          </w:r>
          <w:r>
            <w:rPr>
              <w:noProof/>
            </w:rPr>
            <w:tab/>
          </w:r>
          <w:r>
            <w:rPr>
              <w:noProof/>
            </w:rPr>
            <w:fldChar w:fldCharType="begin"/>
          </w:r>
          <w:r>
            <w:rPr>
              <w:noProof/>
            </w:rPr>
            <w:instrText xml:space="preserve"> PAGEREF _Toc57653952 \h </w:instrText>
          </w:r>
          <w:r>
            <w:rPr>
              <w:noProof/>
            </w:rPr>
          </w:r>
          <w:r>
            <w:rPr>
              <w:noProof/>
            </w:rPr>
            <w:fldChar w:fldCharType="separate"/>
          </w:r>
          <w:r>
            <w:rPr>
              <w:noProof/>
            </w:rPr>
            <w:t>4</w:t>
          </w:r>
          <w:r>
            <w:rPr>
              <w:noProof/>
            </w:rPr>
            <w:fldChar w:fldCharType="end"/>
          </w:r>
        </w:p>
        <w:p w14:paraId="3F0A8572" w14:textId="73F35859" w:rsidR="00953AA1" w:rsidRDefault="00953AA1">
          <w:pPr>
            <w:pStyle w:val="TOC2"/>
            <w:rPr>
              <w:rFonts w:eastAsiaTheme="minorEastAsia" w:cstheme="minorBidi"/>
              <w:noProof/>
              <w:color w:val="auto"/>
            </w:rPr>
          </w:pPr>
          <w:r>
            <w:rPr>
              <w:noProof/>
            </w:rPr>
            <w:t>9. program / Sub-program Type</w:t>
          </w:r>
          <w:r>
            <w:rPr>
              <w:noProof/>
            </w:rPr>
            <w:tab/>
          </w:r>
          <w:r>
            <w:rPr>
              <w:noProof/>
            </w:rPr>
            <w:fldChar w:fldCharType="begin"/>
          </w:r>
          <w:r>
            <w:rPr>
              <w:noProof/>
            </w:rPr>
            <w:instrText xml:space="preserve"> PAGEREF _Toc57653953 \h </w:instrText>
          </w:r>
          <w:r>
            <w:rPr>
              <w:noProof/>
            </w:rPr>
          </w:r>
          <w:r>
            <w:rPr>
              <w:noProof/>
            </w:rPr>
            <w:fldChar w:fldCharType="separate"/>
          </w:r>
          <w:r>
            <w:rPr>
              <w:noProof/>
            </w:rPr>
            <w:t>4</w:t>
          </w:r>
          <w:r>
            <w:rPr>
              <w:noProof/>
            </w:rPr>
            <w:fldChar w:fldCharType="end"/>
          </w:r>
        </w:p>
        <w:p w14:paraId="11AE45F3" w14:textId="0BBA28B1" w:rsidR="00953AA1" w:rsidRDefault="00953AA1">
          <w:pPr>
            <w:pStyle w:val="TOC2"/>
            <w:rPr>
              <w:rFonts w:eastAsiaTheme="minorEastAsia" w:cstheme="minorBidi"/>
              <w:noProof/>
              <w:color w:val="auto"/>
            </w:rPr>
          </w:pPr>
          <w:r>
            <w:rPr>
              <w:noProof/>
            </w:rPr>
            <w:t>10. Market channel(S) and intervention strategies, Campaign Goals, and Timeline</w:t>
          </w:r>
          <w:r>
            <w:rPr>
              <w:noProof/>
            </w:rPr>
            <w:tab/>
          </w:r>
          <w:r>
            <w:rPr>
              <w:noProof/>
            </w:rPr>
            <w:fldChar w:fldCharType="begin"/>
          </w:r>
          <w:r>
            <w:rPr>
              <w:noProof/>
            </w:rPr>
            <w:instrText xml:space="preserve"> PAGEREF _Toc57653954 \h </w:instrText>
          </w:r>
          <w:r>
            <w:rPr>
              <w:noProof/>
            </w:rPr>
          </w:r>
          <w:r>
            <w:rPr>
              <w:noProof/>
            </w:rPr>
            <w:fldChar w:fldCharType="separate"/>
          </w:r>
          <w:r>
            <w:rPr>
              <w:noProof/>
            </w:rPr>
            <w:t>4</w:t>
          </w:r>
          <w:r>
            <w:rPr>
              <w:noProof/>
            </w:rPr>
            <w:fldChar w:fldCharType="end"/>
          </w:r>
        </w:p>
        <w:p w14:paraId="65BE4574" w14:textId="78E362F5" w:rsidR="00953AA1" w:rsidRDefault="00953AA1">
          <w:pPr>
            <w:pStyle w:val="TOC1"/>
            <w:rPr>
              <w:rFonts w:eastAsiaTheme="minorEastAsia" w:cstheme="minorBidi"/>
              <w:b w:val="0"/>
              <w:noProof/>
              <w:color w:val="auto"/>
              <w:sz w:val="22"/>
              <w:szCs w:val="22"/>
            </w:rPr>
          </w:pPr>
          <w:r>
            <w:rPr>
              <w:noProof/>
            </w:rPr>
            <w:t>Implementation Plan Narrative</w:t>
          </w:r>
          <w:r>
            <w:rPr>
              <w:noProof/>
            </w:rPr>
            <w:tab/>
          </w:r>
          <w:r>
            <w:rPr>
              <w:noProof/>
            </w:rPr>
            <w:fldChar w:fldCharType="begin"/>
          </w:r>
          <w:r>
            <w:rPr>
              <w:noProof/>
            </w:rPr>
            <w:instrText xml:space="preserve"> PAGEREF _Toc57653955 \h </w:instrText>
          </w:r>
          <w:r>
            <w:rPr>
              <w:noProof/>
            </w:rPr>
          </w:r>
          <w:r>
            <w:rPr>
              <w:noProof/>
            </w:rPr>
            <w:fldChar w:fldCharType="separate"/>
          </w:r>
          <w:r>
            <w:rPr>
              <w:noProof/>
            </w:rPr>
            <w:t>4</w:t>
          </w:r>
          <w:r>
            <w:rPr>
              <w:noProof/>
            </w:rPr>
            <w:fldChar w:fldCharType="end"/>
          </w:r>
        </w:p>
        <w:p w14:paraId="4F7B6C99" w14:textId="551CB865" w:rsidR="00953AA1" w:rsidRDefault="00953AA1">
          <w:pPr>
            <w:pStyle w:val="TOC2"/>
            <w:rPr>
              <w:rFonts w:eastAsiaTheme="minorEastAsia" w:cstheme="minorBidi"/>
              <w:noProof/>
              <w:color w:val="auto"/>
            </w:rPr>
          </w:pPr>
          <w:r>
            <w:rPr>
              <w:noProof/>
            </w:rPr>
            <w:t>1. Program Description</w:t>
          </w:r>
          <w:r>
            <w:rPr>
              <w:noProof/>
            </w:rPr>
            <w:tab/>
          </w:r>
          <w:r>
            <w:rPr>
              <w:noProof/>
            </w:rPr>
            <w:fldChar w:fldCharType="begin"/>
          </w:r>
          <w:r>
            <w:rPr>
              <w:noProof/>
            </w:rPr>
            <w:instrText xml:space="preserve"> PAGEREF _Toc57653956 \h </w:instrText>
          </w:r>
          <w:r>
            <w:rPr>
              <w:noProof/>
            </w:rPr>
          </w:r>
          <w:r>
            <w:rPr>
              <w:noProof/>
            </w:rPr>
            <w:fldChar w:fldCharType="separate"/>
          </w:r>
          <w:r>
            <w:rPr>
              <w:noProof/>
            </w:rPr>
            <w:t>4</w:t>
          </w:r>
          <w:r>
            <w:rPr>
              <w:noProof/>
            </w:rPr>
            <w:fldChar w:fldCharType="end"/>
          </w:r>
        </w:p>
        <w:p w14:paraId="4D021448" w14:textId="3FE36F83" w:rsidR="00953AA1" w:rsidRDefault="00953AA1">
          <w:pPr>
            <w:pStyle w:val="TOC2"/>
            <w:rPr>
              <w:rFonts w:eastAsiaTheme="minorEastAsia" w:cstheme="minorBidi"/>
              <w:noProof/>
              <w:color w:val="auto"/>
            </w:rPr>
          </w:pPr>
          <w:r>
            <w:rPr>
              <w:noProof/>
            </w:rPr>
            <w:t>2. Program Delivery and Customer Services</w:t>
          </w:r>
          <w:r>
            <w:rPr>
              <w:noProof/>
            </w:rPr>
            <w:tab/>
          </w:r>
          <w:r>
            <w:rPr>
              <w:noProof/>
            </w:rPr>
            <w:fldChar w:fldCharType="begin"/>
          </w:r>
          <w:r>
            <w:rPr>
              <w:noProof/>
            </w:rPr>
            <w:instrText xml:space="preserve"> PAGEREF _Toc57653957 \h </w:instrText>
          </w:r>
          <w:r>
            <w:rPr>
              <w:noProof/>
            </w:rPr>
          </w:r>
          <w:r>
            <w:rPr>
              <w:noProof/>
            </w:rPr>
            <w:fldChar w:fldCharType="separate"/>
          </w:r>
          <w:r>
            <w:rPr>
              <w:noProof/>
            </w:rPr>
            <w:t>4</w:t>
          </w:r>
          <w:r>
            <w:rPr>
              <w:noProof/>
            </w:rPr>
            <w:fldChar w:fldCharType="end"/>
          </w:r>
        </w:p>
        <w:p w14:paraId="63D0DACE" w14:textId="012DD74D" w:rsidR="00953AA1" w:rsidRDefault="00953AA1">
          <w:pPr>
            <w:pStyle w:val="TOC2"/>
            <w:rPr>
              <w:rFonts w:eastAsiaTheme="minorEastAsia" w:cstheme="minorBidi"/>
              <w:noProof/>
              <w:color w:val="auto"/>
            </w:rPr>
          </w:pPr>
          <w:r>
            <w:rPr>
              <w:noProof/>
            </w:rPr>
            <w:t>3. Program Design and Best Practices</w:t>
          </w:r>
          <w:r>
            <w:rPr>
              <w:noProof/>
            </w:rPr>
            <w:tab/>
          </w:r>
          <w:r>
            <w:rPr>
              <w:noProof/>
            </w:rPr>
            <w:fldChar w:fldCharType="begin"/>
          </w:r>
          <w:r>
            <w:rPr>
              <w:noProof/>
            </w:rPr>
            <w:instrText xml:space="preserve"> PAGEREF _Toc57653958 \h </w:instrText>
          </w:r>
          <w:r>
            <w:rPr>
              <w:noProof/>
            </w:rPr>
          </w:r>
          <w:r>
            <w:rPr>
              <w:noProof/>
            </w:rPr>
            <w:fldChar w:fldCharType="separate"/>
          </w:r>
          <w:r>
            <w:rPr>
              <w:noProof/>
            </w:rPr>
            <w:t>6</w:t>
          </w:r>
          <w:r>
            <w:rPr>
              <w:noProof/>
            </w:rPr>
            <w:fldChar w:fldCharType="end"/>
          </w:r>
        </w:p>
        <w:p w14:paraId="5E670A12" w14:textId="225B64E4" w:rsidR="00953AA1" w:rsidRDefault="00953AA1">
          <w:pPr>
            <w:pStyle w:val="TOC2"/>
            <w:rPr>
              <w:rFonts w:eastAsiaTheme="minorEastAsia" w:cstheme="minorBidi"/>
              <w:noProof/>
              <w:color w:val="auto"/>
            </w:rPr>
          </w:pPr>
          <w:r>
            <w:rPr>
              <w:noProof/>
            </w:rPr>
            <w:t>4. Innovation</w:t>
          </w:r>
          <w:r>
            <w:rPr>
              <w:noProof/>
            </w:rPr>
            <w:tab/>
          </w:r>
          <w:r>
            <w:rPr>
              <w:noProof/>
            </w:rPr>
            <w:fldChar w:fldCharType="begin"/>
          </w:r>
          <w:r>
            <w:rPr>
              <w:noProof/>
            </w:rPr>
            <w:instrText xml:space="preserve"> PAGEREF _Toc57653959 \h </w:instrText>
          </w:r>
          <w:r>
            <w:rPr>
              <w:noProof/>
            </w:rPr>
          </w:r>
          <w:r>
            <w:rPr>
              <w:noProof/>
            </w:rPr>
            <w:fldChar w:fldCharType="separate"/>
          </w:r>
          <w:r>
            <w:rPr>
              <w:noProof/>
            </w:rPr>
            <w:t>8</w:t>
          </w:r>
          <w:r>
            <w:rPr>
              <w:noProof/>
            </w:rPr>
            <w:fldChar w:fldCharType="end"/>
          </w:r>
        </w:p>
        <w:p w14:paraId="31FA2A55" w14:textId="6A96DB1A" w:rsidR="00953AA1" w:rsidRDefault="00953AA1">
          <w:pPr>
            <w:pStyle w:val="TOC2"/>
            <w:rPr>
              <w:rFonts w:eastAsiaTheme="minorEastAsia" w:cstheme="minorBidi"/>
              <w:noProof/>
              <w:color w:val="auto"/>
            </w:rPr>
          </w:pPr>
          <w:r>
            <w:rPr>
              <w:noProof/>
            </w:rPr>
            <w:t>5. Metrics</w:t>
          </w:r>
          <w:r>
            <w:rPr>
              <w:noProof/>
            </w:rPr>
            <w:tab/>
          </w:r>
          <w:r>
            <w:rPr>
              <w:noProof/>
            </w:rPr>
            <w:fldChar w:fldCharType="begin"/>
          </w:r>
          <w:r>
            <w:rPr>
              <w:noProof/>
            </w:rPr>
            <w:instrText xml:space="preserve"> PAGEREF _Toc57653960 \h </w:instrText>
          </w:r>
          <w:r>
            <w:rPr>
              <w:noProof/>
            </w:rPr>
          </w:r>
          <w:r>
            <w:rPr>
              <w:noProof/>
            </w:rPr>
            <w:fldChar w:fldCharType="separate"/>
          </w:r>
          <w:r>
            <w:rPr>
              <w:noProof/>
            </w:rPr>
            <w:t>9</w:t>
          </w:r>
          <w:r>
            <w:rPr>
              <w:noProof/>
            </w:rPr>
            <w:fldChar w:fldCharType="end"/>
          </w:r>
        </w:p>
        <w:p w14:paraId="6536D7E4" w14:textId="11BAE916" w:rsidR="00953AA1" w:rsidRDefault="00953AA1">
          <w:pPr>
            <w:pStyle w:val="TOC2"/>
            <w:rPr>
              <w:rFonts w:eastAsiaTheme="minorEastAsia" w:cstheme="minorBidi"/>
              <w:noProof/>
              <w:color w:val="auto"/>
            </w:rPr>
          </w:pPr>
          <w:r>
            <w:rPr>
              <w:noProof/>
            </w:rPr>
            <w:t>6. For programs claiming to-code savings</w:t>
          </w:r>
          <w:r>
            <w:rPr>
              <w:noProof/>
            </w:rPr>
            <w:tab/>
          </w:r>
          <w:r>
            <w:rPr>
              <w:noProof/>
            </w:rPr>
            <w:fldChar w:fldCharType="begin"/>
          </w:r>
          <w:r>
            <w:rPr>
              <w:noProof/>
            </w:rPr>
            <w:instrText xml:space="preserve"> PAGEREF _Toc57653961 \h </w:instrText>
          </w:r>
          <w:r>
            <w:rPr>
              <w:noProof/>
            </w:rPr>
          </w:r>
          <w:r>
            <w:rPr>
              <w:noProof/>
            </w:rPr>
            <w:fldChar w:fldCharType="separate"/>
          </w:r>
          <w:r>
            <w:rPr>
              <w:noProof/>
            </w:rPr>
            <w:t>10</w:t>
          </w:r>
          <w:r>
            <w:rPr>
              <w:noProof/>
            </w:rPr>
            <w:fldChar w:fldCharType="end"/>
          </w:r>
        </w:p>
        <w:p w14:paraId="04053DF1" w14:textId="7663096B" w:rsidR="00953AA1" w:rsidRDefault="00953AA1">
          <w:pPr>
            <w:pStyle w:val="TOC2"/>
            <w:rPr>
              <w:rFonts w:eastAsiaTheme="minorEastAsia" w:cstheme="minorBidi"/>
              <w:noProof/>
              <w:color w:val="auto"/>
            </w:rPr>
          </w:pPr>
          <w:r>
            <w:rPr>
              <w:noProof/>
            </w:rPr>
            <w:t>7. Pilots</w:t>
          </w:r>
          <w:r>
            <w:rPr>
              <w:noProof/>
            </w:rPr>
            <w:tab/>
          </w:r>
          <w:r>
            <w:rPr>
              <w:noProof/>
            </w:rPr>
            <w:fldChar w:fldCharType="begin"/>
          </w:r>
          <w:r>
            <w:rPr>
              <w:noProof/>
            </w:rPr>
            <w:instrText xml:space="preserve"> PAGEREF _Toc57653962 \h </w:instrText>
          </w:r>
          <w:r>
            <w:rPr>
              <w:noProof/>
            </w:rPr>
          </w:r>
          <w:r>
            <w:rPr>
              <w:noProof/>
            </w:rPr>
            <w:fldChar w:fldCharType="separate"/>
          </w:r>
          <w:r>
            <w:rPr>
              <w:noProof/>
            </w:rPr>
            <w:t>10</w:t>
          </w:r>
          <w:r>
            <w:rPr>
              <w:noProof/>
            </w:rPr>
            <w:fldChar w:fldCharType="end"/>
          </w:r>
        </w:p>
        <w:p w14:paraId="5826008B" w14:textId="12B86F41" w:rsidR="00953AA1" w:rsidRDefault="00953AA1">
          <w:pPr>
            <w:pStyle w:val="TOC2"/>
            <w:rPr>
              <w:rFonts w:eastAsiaTheme="minorEastAsia" w:cstheme="minorBidi"/>
              <w:noProof/>
              <w:color w:val="auto"/>
            </w:rPr>
          </w:pPr>
          <w:r>
            <w:rPr>
              <w:noProof/>
            </w:rPr>
            <w:t>8. Workforce education and training</w:t>
          </w:r>
          <w:r>
            <w:rPr>
              <w:noProof/>
            </w:rPr>
            <w:tab/>
          </w:r>
          <w:r>
            <w:rPr>
              <w:noProof/>
            </w:rPr>
            <w:fldChar w:fldCharType="begin"/>
          </w:r>
          <w:r>
            <w:rPr>
              <w:noProof/>
            </w:rPr>
            <w:instrText xml:space="preserve"> PAGEREF _Toc57653963 \h </w:instrText>
          </w:r>
          <w:r>
            <w:rPr>
              <w:noProof/>
            </w:rPr>
          </w:r>
          <w:r>
            <w:rPr>
              <w:noProof/>
            </w:rPr>
            <w:fldChar w:fldCharType="separate"/>
          </w:r>
          <w:r>
            <w:rPr>
              <w:noProof/>
            </w:rPr>
            <w:t>10</w:t>
          </w:r>
          <w:r>
            <w:rPr>
              <w:noProof/>
            </w:rPr>
            <w:fldChar w:fldCharType="end"/>
          </w:r>
        </w:p>
        <w:p w14:paraId="44EFC4F7" w14:textId="6E8599DE" w:rsidR="00953AA1" w:rsidRDefault="00953AA1">
          <w:pPr>
            <w:pStyle w:val="TOC2"/>
            <w:rPr>
              <w:rFonts w:eastAsiaTheme="minorEastAsia" w:cstheme="minorBidi"/>
              <w:noProof/>
              <w:color w:val="auto"/>
            </w:rPr>
          </w:pPr>
          <w:r>
            <w:rPr>
              <w:noProof/>
            </w:rPr>
            <w:t>9. Workforce standards</w:t>
          </w:r>
          <w:r>
            <w:rPr>
              <w:noProof/>
            </w:rPr>
            <w:tab/>
          </w:r>
          <w:r>
            <w:rPr>
              <w:noProof/>
            </w:rPr>
            <w:fldChar w:fldCharType="begin"/>
          </w:r>
          <w:r>
            <w:rPr>
              <w:noProof/>
            </w:rPr>
            <w:instrText xml:space="preserve"> PAGEREF _Toc57653964 \h </w:instrText>
          </w:r>
          <w:r>
            <w:rPr>
              <w:noProof/>
            </w:rPr>
          </w:r>
          <w:r>
            <w:rPr>
              <w:noProof/>
            </w:rPr>
            <w:fldChar w:fldCharType="separate"/>
          </w:r>
          <w:r>
            <w:rPr>
              <w:noProof/>
            </w:rPr>
            <w:t>10</w:t>
          </w:r>
          <w:r>
            <w:rPr>
              <w:noProof/>
            </w:rPr>
            <w:fldChar w:fldCharType="end"/>
          </w:r>
        </w:p>
        <w:p w14:paraId="3D6403DC" w14:textId="39EC436E" w:rsidR="00953AA1" w:rsidRDefault="00953AA1">
          <w:pPr>
            <w:pStyle w:val="TOC2"/>
            <w:rPr>
              <w:rFonts w:eastAsiaTheme="minorEastAsia" w:cstheme="minorBidi"/>
              <w:noProof/>
              <w:color w:val="auto"/>
            </w:rPr>
          </w:pPr>
          <w:r>
            <w:rPr>
              <w:noProof/>
            </w:rPr>
            <w:t>10. Disadvantaged worker plan</w:t>
          </w:r>
          <w:r>
            <w:rPr>
              <w:noProof/>
            </w:rPr>
            <w:tab/>
          </w:r>
          <w:r>
            <w:rPr>
              <w:noProof/>
            </w:rPr>
            <w:fldChar w:fldCharType="begin"/>
          </w:r>
          <w:r>
            <w:rPr>
              <w:noProof/>
            </w:rPr>
            <w:instrText xml:space="preserve"> PAGEREF _Toc57653965 \h </w:instrText>
          </w:r>
          <w:r>
            <w:rPr>
              <w:noProof/>
            </w:rPr>
          </w:r>
          <w:r>
            <w:rPr>
              <w:noProof/>
            </w:rPr>
            <w:fldChar w:fldCharType="separate"/>
          </w:r>
          <w:r>
            <w:rPr>
              <w:noProof/>
            </w:rPr>
            <w:t>11</w:t>
          </w:r>
          <w:r>
            <w:rPr>
              <w:noProof/>
            </w:rPr>
            <w:fldChar w:fldCharType="end"/>
          </w:r>
        </w:p>
        <w:p w14:paraId="40F4D761" w14:textId="0D7F4872" w:rsidR="00953AA1" w:rsidRDefault="00953AA1">
          <w:pPr>
            <w:pStyle w:val="TOC2"/>
            <w:rPr>
              <w:rFonts w:eastAsiaTheme="minorEastAsia" w:cstheme="minorBidi"/>
              <w:noProof/>
              <w:color w:val="auto"/>
            </w:rPr>
          </w:pPr>
          <w:r>
            <w:rPr>
              <w:noProof/>
            </w:rPr>
            <w:t>11. Additional information</w:t>
          </w:r>
          <w:r>
            <w:rPr>
              <w:noProof/>
            </w:rPr>
            <w:tab/>
          </w:r>
          <w:r>
            <w:rPr>
              <w:noProof/>
            </w:rPr>
            <w:fldChar w:fldCharType="begin"/>
          </w:r>
          <w:r>
            <w:rPr>
              <w:noProof/>
            </w:rPr>
            <w:instrText xml:space="preserve"> PAGEREF _Toc57653966 \h </w:instrText>
          </w:r>
          <w:r>
            <w:rPr>
              <w:noProof/>
            </w:rPr>
          </w:r>
          <w:r>
            <w:rPr>
              <w:noProof/>
            </w:rPr>
            <w:fldChar w:fldCharType="separate"/>
          </w:r>
          <w:r>
            <w:rPr>
              <w:noProof/>
            </w:rPr>
            <w:t>11</w:t>
          </w:r>
          <w:r>
            <w:rPr>
              <w:noProof/>
            </w:rPr>
            <w:fldChar w:fldCharType="end"/>
          </w:r>
        </w:p>
        <w:p w14:paraId="0BF77085" w14:textId="04F592FA" w:rsidR="00953AA1" w:rsidRDefault="00953AA1">
          <w:pPr>
            <w:pStyle w:val="TOC1"/>
            <w:rPr>
              <w:rFonts w:eastAsiaTheme="minorEastAsia" w:cstheme="minorBidi"/>
              <w:b w:val="0"/>
              <w:noProof/>
              <w:color w:val="auto"/>
              <w:sz w:val="22"/>
              <w:szCs w:val="22"/>
            </w:rPr>
          </w:pPr>
          <w:r>
            <w:rPr>
              <w:noProof/>
            </w:rPr>
            <w:t>Supporting Documents</w:t>
          </w:r>
          <w:r>
            <w:rPr>
              <w:noProof/>
            </w:rPr>
            <w:tab/>
          </w:r>
          <w:r>
            <w:rPr>
              <w:noProof/>
            </w:rPr>
            <w:fldChar w:fldCharType="begin"/>
          </w:r>
          <w:r>
            <w:rPr>
              <w:noProof/>
            </w:rPr>
            <w:instrText xml:space="preserve"> PAGEREF _Toc57653967 \h </w:instrText>
          </w:r>
          <w:r>
            <w:rPr>
              <w:noProof/>
            </w:rPr>
          </w:r>
          <w:r>
            <w:rPr>
              <w:noProof/>
            </w:rPr>
            <w:fldChar w:fldCharType="separate"/>
          </w:r>
          <w:r>
            <w:rPr>
              <w:noProof/>
            </w:rPr>
            <w:t>11</w:t>
          </w:r>
          <w:r>
            <w:rPr>
              <w:noProof/>
            </w:rPr>
            <w:fldChar w:fldCharType="end"/>
          </w:r>
        </w:p>
        <w:p w14:paraId="2EA44E59" w14:textId="57779EE5" w:rsidR="00953AA1" w:rsidRDefault="00953AA1">
          <w:pPr>
            <w:pStyle w:val="TOC2"/>
            <w:rPr>
              <w:rFonts w:eastAsiaTheme="minorEastAsia" w:cstheme="minorBidi"/>
              <w:noProof/>
              <w:color w:val="auto"/>
            </w:rPr>
          </w:pPr>
          <w:r>
            <w:rPr>
              <w:noProof/>
            </w:rPr>
            <w:t>1. Program Manuals and Program Rules</w:t>
          </w:r>
          <w:r>
            <w:rPr>
              <w:noProof/>
            </w:rPr>
            <w:tab/>
          </w:r>
          <w:r>
            <w:rPr>
              <w:noProof/>
            </w:rPr>
            <w:fldChar w:fldCharType="begin"/>
          </w:r>
          <w:r>
            <w:rPr>
              <w:noProof/>
            </w:rPr>
            <w:instrText xml:space="preserve"> PAGEREF _Toc57653968 \h </w:instrText>
          </w:r>
          <w:r>
            <w:rPr>
              <w:noProof/>
            </w:rPr>
          </w:r>
          <w:r>
            <w:rPr>
              <w:noProof/>
            </w:rPr>
            <w:fldChar w:fldCharType="separate"/>
          </w:r>
          <w:r>
            <w:rPr>
              <w:noProof/>
            </w:rPr>
            <w:t>11</w:t>
          </w:r>
          <w:r>
            <w:rPr>
              <w:noProof/>
            </w:rPr>
            <w:fldChar w:fldCharType="end"/>
          </w:r>
        </w:p>
        <w:p w14:paraId="705E705D" w14:textId="4937EED7" w:rsidR="00953AA1" w:rsidRDefault="00953AA1">
          <w:pPr>
            <w:pStyle w:val="TOC2"/>
            <w:rPr>
              <w:rFonts w:eastAsiaTheme="minorEastAsia" w:cstheme="minorBidi"/>
              <w:noProof/>
              <w:color w:val="auto"/>
            </w:rPr>
          </w:pPr>
          <w:r>
            <w:rPr>
              <w:noProof/>
            </w:rPr>
            <w:t>2. Program theory and program Logic Model</w:t>
          </w:r>
          <w:r>
            <w:rPr>
              <w:noProof/>
            </w:rPr>
            <w:tab/>
          </w:r>
          <w:r>
            <w:rPr>
              <w:noProof/>
            </w:rPr>
            <w:fldChar w:fldCharType="begin"/>
          </w:r>
          <w:r>
            <w:rPr>
              <w:noProof/>
            </w:rPr>
            <w:instrText xml:space="preserve"> PAGEREF _Toc57653969 \h </w:instrText>
          </w:r>
          <w:r>
            <w:rPr>
              <w:noProof/>
            </w:rPr>
          </w:r>
          <w:r>
            <w:rPr>
              <w:noProof/>
            </w:rPr>
            <w:fldChar w:fldCharType="separate"/>
          </w:r>
          <w:r>
            <w:rPr>
              <w:noProof/>
            </w:rPr>
            <w:t>11</w:t>
          </w:r>
          <w:r>
            <w:rPr>
              <w:noProof/>
            </w:rPr>
            <w:fldChar w:fldCharType="end"/>
          </w:r>
        </w:p>
        <w:p w14:paraId="72099D4A" w14:textId="1D258432" w:rsidR="00953AA1" w:rsidRDefault="00953AA1">
          <w:pPr>
            <w:pStyle w:val="TOC2"/>
            <w:rPr>
              <w:rFonts w:eastAsiaTheme="minorEastAsia" w:cstheme="minorBidi"/>
              <w:noProof/>
              <w:color w:val="auto"/>
            </w:rPr>
          </w:pPr>
          <w:r>
            <w:rPr>
              <w:noProof/>
            </w:rPr>
            <w:t>3. Process Flow chart</w:t>
          </w:r>
          <w:r>
            <w:rPr>
              <w:noProof/>
            </w:rPr>
            <w:tab/>
          </w:r>
          <w:r>
            <w:rPr>
              <w:noProof/>
            </w:rPr>
            <w:fldChar w:fldCharType="begin"/>
          </w:r>
          <w:r>
            <w:rPr>
              <w:noProof/>
            </w:rPr>
            <w:instrText xml:space="preserve"> PAGEREF _Toc57653970 \h </w:instrText>
          </w:r>
          <w:r>
            <w:rPr>
              <w:noProof/>
            </w:rPr>
          </w:r>
          <w:r>
            <w:rPr>
              <w:noProof/>
            </w:rPr>
            <w:fldChar w:fldCharType="separate"/>
          </w:r>
          <w:r>
            <w:rPr>
              <w:noProof/>
            </w:rPr>
            <w:t>13</w:t>
          </w:r>
          <w:r>
            <w:rPr>
              <w:noProof/>
            </w:rPr>
            <w:fldChar w:fldCharType="end"/>
          </w:r>
        </w:p>
        <w:p w14:paraId="75E4034F" w14:textId="33E23660" w:rsidR="00953AA1" w:rsidRDefault="00953AA1">
          <w:pPr>
            <w:pStyle w:val="TOC2"/>
            <w:rPr>
              <w:rFonts w:eastAsiaTheme="minorEastAsia" w:cstheme="minorBidi"/>
              <w:noProof/>
              <w:color w:val="auto"/>
            </w:rPr>
          </w:pPr>
          <w:r>
            <w:rPr>
              <w:noProof/>
            </w:rPr>
            <w:t>4. Incentive Tables, Workpapers, Software Tools</w:t>
          </w:r>
          <w:r>
            <w:rPr>
              <w:noProof/>
            </w:rPr>
            <w:tab/>
          </w:r>
          <w:r>
            <w:rPr>
              <w:noProof/>
            </w:rPr>
            <w:fldChar w:fldCharType="begin"/>
          </w:r>
          <w:r>
            <w:rPr>
              <w:noProof/>
            </w:rPr>
            <w:instrText xml:space="preserve"> PAGEREF _Toc57653971 \h </w:instrText>
          </w:r>
          <w:r>
            <w:rPr>
              <w:noProof/>
            </w:rPr>
          </w:r>
          <w:r>
            <w:rPr>
              <w:noProof/>
            </w:rPr>
            <w:fldChar w:fldCharType="separate"/>
          </w:r>
          <w:r>
            <w:rPr>
              <w:noProof/>
            </w:rPr>
            <w:t>14</w:t>
          </w:r>
          <w:r>
            <w:rPr>
              <w:noProof/>
            </w:rPr>
            <w:fldChar w:fldCharType="end"/>
          </w:r>
        </w:p>
        <w:p w14:paraId="475FEF66" w14:textId="57C3F1EC" w:rsidR="00953AA1" w:rsidRDefault="00953AA1">
          <w:pPr>
            <w:pStyle w:val="TOC2"/>
            <w:rPr>
              <w:rFonts w:eastAsiaTheme="minorEastAsia" w:cstheme="minorBidi"/>
              <w:noProof/>
              <w:color w:val="auto"/>
            </w:rPr>
          </w:pPr>
          <w:r>
            <w:rPr>
              <w:noProof/>
            </w:rPr>
            <w:t>5. Quantitative Program Targets</w:t>
          </w:r>
          <w:r>
            <w:rPr>
              <w:noProof/>
            </w:rPr>
            <w:tab/>
          </w:r>
          <w:r>
            <w:rPr>
              <w:noProof/>
            </w:rPr>
            <w:fldChar w:fldCharType="begin"/>
          </w:r>
          <w:r>
            <w:rPr>
              <w:noProof/>
            </w:rPr>
            <w:instrText xml:space="preserve"> PAGEREF _Toc57653972 \h </w:instrText>
          </w:r>
          <w:r>
            <w:rPr>
              <w:noProof/>
            </w:rPr>
          </w:r>
          <w:r>
            <w:rPr>
              <w:noProof/>
            </w:rPr>
            <w:fldChar w:fldCharType="separate"/>
          </w:r>
          <w:r>
            <w:rPr>
              <w:noProof/>
            </w:rPr>
            <w:t>14</w:t>
          </w:r>
          <w:r>
            <w:rPr>
              <w:noProof/>
            </w:rPr>
            <w:fldChar w:fldCharType="end"/>
          </w:r>
        </w:p>
        <w:p w14:paraId="46700614" w14:textId="6645781D" w:rsidR="00953AA1" w:rsidRDefault="00953AA1">
          <w:pPr>
            <w:pStyle w:val="TOC2"/>
            <w:rPr>
              <w:rFonts w:eastAsiaTheme="minorEastAsia" w:cstheme="minorBidi"/>
              <w:noProof/>
              <w:color w:val="auto"/>
            </w:rPr>
          </w:pPr>
          <w:r>
            <w:rPr>
              <w:noProof/>
            </w:rPr>
            <w:t>6. Diagram of Program</w:t>
          </w:r>
          <w:r>
            <w:rPr>
              <w:noProof/>
            </w:rPr>
            <w:tab/>
          </w:r>
          <w:r>
            <w:rPr>
              <w:noProof/>
            </w:rPr>
            <w:fldChar w:fldCharType="begin"/>
          </w:r>
          <w:r>
            <w:rPr>
              <w:noProof/>
            </w:rPr>
            <w:instrText xml:space="preserve"> PAGEREF _Toc57653973 \h </w:instrText>
          </w:r>
          <w:r>
            <w:rPr>
              <w:noProof/>
            </w:rPr>
          </w:r>
          <w:r>
            <w:rPr>
              <w:noProof/>
            </w:rPr>
            <w:fldChar w:fldCharType="separate"/>
          </w:r>
          <w:r>
            <w:rPr>
              <w:noProof/>
            </w:rPr>
            <w:t>15</w:t>
          </w:r>
          <w:r>
            <w:rPr>
              <w:noProof/>
            </w:rPr>
            <w:fldChar w:fldCharType="end"/>
          </w:r>
        </w:p>
        <w:p w14:paraId="52A607EE" w14:textId="0620055C" w:rsidR="00953AA1" w:rsidRDefault="00953AA1">
          <w:pPr>
            <w:pStyle w:val="TOC2"/>
            <w:rPr>
              <w:rFonts w:eastAsiaTheme="minorEastAsia" w:cstheme="minorBidi"/>
              <w:noProof/>
              <w:color w:val="auto"/>
            </w:rPr>
          </w:pPr>
          <w:r>
            <w:rPr>
              <w:noProof/>
            </w:rPr>
            <w:t>7. Evaluation, Measurement &amp; Verification (EM&amp;V)</w:t>
          </w:r>
          <w:r>
            <w:rPr>
              <w:noProof/>
            </w:rPr>
            <w:tab/>
          </w:r>
          <w:r>
            <w:rPr>
              <w:noProof/>
            </w:rPr>
            <w:fldChar w:fldCharType="begin"/>
          </w:r>
          <w:r>
            <w:rPr>
              <w:noProof/>
            </w:rPr>
            <w:instrText xml:space="preserve"> PAGEREF _Toc57653974 \h </w:instrText>
          </w:r>
          <w:r>
            <w:rPr>
              <w:noProof/>
            </w:rPr>
          </w:r>
          <w:r>
            <w:rPr>
              <w:noProof/>
            </w:rPr>
            <w:fldChar w:fldCharType="separate"/>
          </w:r>
          <w:r>
            <w:rPr>
              <w:noProof/>
            </w:rPr>
            <w:t>15</w:t>
          </w:r>
          <w:r>
            <w:rPr>
              <w:noProof/>
            </w:rPr>
            <w:fldChar w:fldCharType="end"/>
          </w:r>
        </w:p>
        <w:p w14:paraId="468B070F" w14:textId="36348EE4" w:rsidR="00953AA1" w:rsidRDefault="00953AA1">
          <w:pPr>
            <w:pStyle w:val="TOC2"/>
            <w:rPr>
              <w:rFonts w:eastAsiaTheme="minorEastAsia" w:cstheme="minorBidi"/>
              <w:noProof/>
              <w:color w:val="auto"/>
            </w:rPr>
          </w:pPr>
          <w:r>
            <w:rPr>
              <w:noProof/>
            </w:rPr>
            <w:t>8. Normalized metered energy consumption (NMEC)</w:t>
          </w:r>
          <w:r>
            <w:rPr>
              <w:noProof/>
            </w:rPr>
            <w:tab/>
          </w:r>
          <w:r>
            <w:rPr>
              <w:noProof/>
            </w:rPr>
            <w:fldChar w:fldCharType="begin"/>
          </w:r>
          <w:r>
            <w:rPr>
              <w:noProof/>
            </w:rPr>
            <w:instrText xml:space="preserve"> PAGEREF _Toc57653975 \h </w:instrText>
          </w:r>
          <w:r>
            <w:rPr>
              <w:noProof/>
            </w:rPr>
          </w:r>
          <w:r>
            <w:rPr>
              <w:noProof/>
            </w:rPr>
            <w:fldChar w:fldCharType="separate"/>
          </w:r>
          <w:r>
            <w:rPr>
              <w:noProof/>
            </w:rPr>
            <w:t>16</w:t>
          </w:r>
          <w:r>
            <w:rPr>
              <w:noProof/>
            </w:rPr>
            <w:fldChar w:fldCharType="end"/>
          </w:r>
        </w:p>
        <w:p w14:paraId="6A5E456C" w14:textId="52CFF7AA" w:rsidR="00B13D8E" w:rsidRPr="00691194" w:rsidRDefault="0081721C">
          <w:pPr>
            <w:rPr>
              <w:color w:val="000000" w:themeColor="text1"/>
            </w:rPr>
          </w:pPr>
          <w:r w:rsidRPr="00691194">
            <w:rPr>
              <w:rFonts w:asciiTheme="minorHAnsi" w:hAnsiTheme="minorHAnsi" w:cstheme="minorHAnsi"/>
              <w:color w:val="000000" w:themeColor="text1"/>
              <w:sz w:val="22"/>
              <w:szCs w:val="20"/>
            </w:rPr>
            <w:fldChar w:fldCharType="end"/>
          </w:r>
        </w:p>
      </w:sdtContent>
    </w:sdt>
    <w:p w14:paraId="3D9A2D08" w14:textId="77777777" w:rsidR="00441079" w:rsidRPr="00691194" w:rsidRDefault="00441079" w:rsidP="00441079">
      <w:pPr>
        <w:pStyle w:val="BTableofContents"/>
        <w:rPr>
          <w:b w:val="0"/>
          <w:color w:val="000000" w:themeColor="text1"/>
        </w:rPr>
      </w:pPr>
    </w:p>
    <w:p w14:paraId="4AE18F66" w14:textId="7A7BEBCD" w:rsidR="00B2680E" w:rsidRPr="00AD18E9" w:rsidRDefault="00FB3C20" w:rsidP="00AD18E9">
      <w:pPr>
        <w:pStyle w:val="EPageHeader"/>
        <w:rPr>
          <w:color w:val="000000" w:themeColor="text1"/>
        </w:rPr>
      </w:pPr>
      <w:r w:rsidRPr="00691194">
        <w:rPr>
          <w:color w:val="000000" w:themeColor="text1"/>
        </w:rPr>
        <w:br w:type="page"/>
      </w:r>
    </w:p>
    <w:p w14:paraId="0752074C" w14:textId="4B7DA4F3" w:rsidR="00DB03C9" w:rsidRDefault="00DB03C9" w:rsidP="00DB03C9">
      <w:pPr>
        <w:pStyle w:val="Heading1"/>
      </w:pPr>
      <w:bookmarkStart w:id="0" w:name="_Toc8227863"/>
      <w:bookmarkStart w:id="1" w:name="_Toc57653943"/>
      <w:r w:rsidRPr="00D87623">
        <w:lastRenderedPageBreak/>
        <w:t>Program Overview</w:t>
      </w:r>
      <w:bookmarkEnd w:id="0"/>
      <w:bookmarkEnd w:id="1"/>
    </w:p>
    <w:p w14:paraId="1A060A99" w14:textId="3E1B6906" w:rsidR="00DD4F75" w:rsidRDefault="00B56B9D" w:rsidP="00DB03C9">
      <w:r>
        <w:t>The Business Energy Performance</w:t>
      </w:r>
      <w:r w:rsidR="008A0EA3">
        <w:t xml:space="preserve"> (“BEP”) Program</w:t>
      </w:r>
      <w:r w:rsidR="00F755A0">
        <w:t xml:space="preserve"> (“Program”) </w:t>
      </w:r>
      <w:r w:rsidR="002626CF">
        <w:t xml:space="preserve">is a downstream program that </w:t>
      </w:r>
      <w:r w:rsidR="00F755A0">
        <w:t xml:space="preserve">will provide energy efficiency services, technical assistance and incentives </w:t>
      </w:r>
      <w:r w:rsidR="00833406">
        <w:t>to the</w:t>
      </w:r>
      <w:r w:rsidR="009E0F3D">
        <w:t xml:space="preserve"> </w:t>
      </w:r>
      <w:r w:rsidR="001523C3">
        <w:t>Petroleum, Chemical, and Minerals sub segments</w:t>
      </w:r>
      <w:r w:rsidR="00BF79CD">
        <w:t xml:space="preserve"> within the Pacific Gas and Ele</w:t>
      </w:r>
      <w:r w:rsidR="001B1338">
        <w:t>ctric (“PG&amp;E”)</w:t>
      </w:r>
      <w:r w:rsidR="005A71BF">
        <w:t xml:space="preserve"> service territory</w:t>
      </w:r>
      <w:r w:rsidR="0085142B">
        <w:t xml:space="preserve">. </w:t>
      </w:r>
    </w:p>
    <w:p w14:paraId="50C96998" w14:textId="26FD2480" w:rsidR="00D25BDE" w:rsidRDefault="00D25BDE" w:rsidP="00DB03C9">
      <w:r>
        <w:t xml:space="preserve">The </w:t>
      </w:r>
      <w:r w:rsidR="00477A13">
        <w:t>program will provide the following services</w:t>
      </w:r>
      <w:r>
        <w:t>:</w:t>
      </w:r>
    </w:p>
    <w:p w14:paraId="583890AD" w14:textId="680FE447" w:rsidR="007C3690" w:rsidRPr="007C3690" w:rsidRDefault="007C3690" w:rsidP="007C3690">
      <w:pPr>
        <w:pStyle w:val="ListParagraph"/>
        <w:numPr>
          <w:ilvl w:val="0"/>
          <w:numId w:val="24"/>
        </w:numPr>
      </w:pPr>
      <w:r w:rsidRPr="007C3690">
        <w:t>Marketing and outreac</w:t>
      </w:r>
      <w:r>
        <w:t>h</w:t>
      </w:r>
    </w:p>
    <w:p w14:paraId="0D131365" w14:textId="661DF790" w:rsidR="007C3690" w:rsidRPr="007C3690" w:rsidRDefault="007C3690" w:rsidP="007C3690">
      <w:pPr>
        <w:pStyle w:val="ListParagraph"/>
        <w:numPr>
          <w:ilvl w:val="0"/>
          <w:numId w:val="24"/>
        </w:numPr>
      </w:pPr>
      <w:r w:rsidRPr="007C3690">
        <w:t>Customer education</w:t>
      </w:r>
      <w:r w:rsidR="00040A6E">
        <w:t xml:space="preserve"> and facility benchmarking</w:t>
      </w:r>
    </w:p>
    <w:p w14:paraId="2FDBB54D" w14:textId="43DAFA8F" w:rsidR="007C3690" w:rsidRPr="007C3690" w:rsidRDefault="00A67DF6" w:rsidP="007C3690">
      <w:pPr>
        <w:pStyle w:val="ListParagraph"/>
        <w:numPr>
          <w:ilvl w:val="0"/>
          <w:numId w:val="24"/>
        </w:numPr>
      </w:pPr>
      <w:r>
        <w:t>T</w:t>
      </w:r>
      <w:r w:rsidR="007C3690" w:rsidRPr="007C3690">
        <w:t>echnical assistance</w:t>
      </w:r>
      <w:r w:rsidR="00040A6E">
        <w:t xml:space="preserve"> and long-term energy efficiency planning</w:t>
      </w:r>
    </w:p>
    <w:p w14:paraId="1AC719E0" w14:textId="48882F58" w:rsidR="007C3690" w:rsidRPr="007C3690" w:rsidRDefault="007C3690" w:rsidP="007C3690">
      <w:pPr>
        <w:pStyle w:val="ListParagraph"/>
        <w:numPr>
          <w:ilvl w:val="0"/>
          <w:numId w:val="24"/>
        </w:numPr>
      </w:pPr>
      <w:r w:rsidRPr="007C3690">
        <w:t>Project scoping</w:t>
      </w:r>
      <w:r w:rsidR="0029573B">
        <w:t xml:space="preserve"> and development</w:t>
      </w:r>
    </w:p>
    <w:p w14:paraId="6338641D" w14:textId="77777777" w:rsidR="007C3690" w:rsidRPr="007C3690" w:rsidRDefault="007C3690" w:rsidP="007C3690">
      <w:pPr>
        <w:pStyle w:val="ListParagraph"/>
        <w:numPr>
          <w:ilvl w:val="0"/>
          <w:numId w:val="24"/>
        </w:numPr>
      </w:pPr>
      <w:r w:rsidRPr="007C3690">
        <w:t>Financial incentives/rebates</w:t>
      </w:r>
    </w:p>
    <w:p w14:paraId="0565A027" w14:textId="77777777" w:rsidR="007C3690" w:rsidRPr="007C3690" w:rsidRDefault="007C3690" w:rsidP="007C3690">
      <w:pPr>
        <w:pStyle w:val="ListParagraph"/>
        <w:numPr>
          <w:ilvl w:val="0"/>
          <w:numId w:val="24"/>
        </w:numPr>
      </w:pPr>
      <w:r w:rsidRPr="007C3690">
        <w:t>Inspection and verification of project results</w:t>
      </w:r>
    </w:p>
    <w:p w14:paraId="26BDB610" w14:textId="631AE16C" w:rsidR="007C3690" w:rsidRPr="007C3690" w:rsidRDefault="00921E38" w:rsidP="007C3690">
      <w:pPr>
        <w:pStyle w:val="ListParagraph"/>
        <w:numPr>
          <w:ilvl w:val="0"/>
          <w:numId w:val="24"/>
        </w:numPr>
      </w:pPr>
      <w:r w:rsidRPr="007C3690">
        <w:t xml:space="preserve">Promotion of </w:t>
      </w:r>
      <w:r w:rsidR="00582DE4">
        <w:t xml:space="preserve">financing options, such as </w:t>
      </w:r>
      <w:r w:rsidRPr="007C3690">
        <w:t>On-Bill Financing (“OBF”)</w:t>
      </w:r>
    </w:p>
    <w:p w14:paraId="0191C7A2" w14:textId="7134D8D2" w:rsidR="00DD4F75" w:rsidRPr="00970424" w:rsidRDefault="00DD4F75" w:rsidP="00921E38">
      <w:pPr>
        <w:pStyle w:val="Heading1"/>
      </w:pPr>
      <w:bookmarkStart w:id="2" w:name="_Toc57653944"/>
      <w:r>
        <w:t>Program Budget and Savings</w:t>
      </w:r>
      <w:bookmarkEnd w:id="2"/>
    </w:p>
    <w:p w14:paraId="6FCBC994" w14:textId="66327603" w:rsidR="00DB03C9" w:rsidRDefault="00DB03C9" w:rsidP="00DB03C9">
      <w:pPr>
        <w:pStyle w:val="Heading2"/>
        <w:rPr>
          <w:sz w:val="24"/>
        </w:rPr>
      </w:pPr>
      <w:bookmarkStart w:id="3" w:name="_Hlk508706146"/>
      <w:bookmarkStart w:id="4" w:name="_Toc8227864"/>
      <w:bookmarkStart w:id="5" w:name="_Toc57653945"/>
      <w:r>
        <w:rPr>
          <w:sz w:val="24"/>
        </w:rPr>
        <w:t xml:space="preserve">1. </w:t>
      </w:r>
      <w:r w:rsidRPr="007C2955">
        <w:rPr>
          <w:sz w:val="24"/>
        </w:rPr>
        <w:t>Program and/or Sub-Program Name</w:t>
      </w:r>
      <w:bookmarkEnd w:id="3"/>
      <w:bookmarkEnd w:id="4"/>
      <w:bookmarkEnd w:id="5"/>
    </w:p>
    <w:p w14:paraId="78011BF6" w14:textId="3931E6E0" w:rsidR="00DB03C9" w:rsidRPr="00E33A79" w:rsidRDefault="5F0BF7DC" w:rsidP="00DB03C9">
      <w:r>
        <w:t>PG&amp;E Business Energy Performance (BEP) Program</w:t>
      </w:r>
    </w:p>
    <w:p w14:paraId="5D9AAD78" w14:textId="68A22AD8" w:rsidR="00DB03C9" w:rsidRDefault="00DB03C9" w:rsidP="00DB03C9">
      <w:pPr>
        <w:pStyle w:val="Heading2"/>
        <w:rPr>
          <w:sz w:val="24"/>
        </w:rPr>
      </w:pPr>
      <w:bookmarkStart w:id="6" w:name="_Toc8227865"/>
      <w:bookmarkStart w:id="7" w:name="_Toc57653946"/>
      <w:r>
        <w:rPr>
          <w:sz w:val="24"/>
        </w:rPr>
        <w:t xml:space="preserve">2. </w:t>
      </w:r>
      <w:r w:rsidR="00DD4F75">
        <w:rPr>
          <w:sz w:val="24"/>
        </w:rPr>
        <w:t xml:space="preserve">Program / </w:t>
      </w:r>
      <w:r w:rsidRPr="007C2955">
        <w:rPr>
          <w:sz w:val="24"/>
        </w:rPr>
        <w:t>Sub-Program ID number</w:t>
      </w:r>
      <w:bookmarkEnd w:id="6"/>
      <w:bookmarkEnd w:id="7"/>
    </w:p>
    <w:p w14:paraId="11FDAD3D" w14:textId="755F33F4" w:rsidR="00DB03C9" w:rsidRPr="00E33A79" w:rsidRDefault="64A9D10A" w:rsidP="00DB03C9">
      <w:r>
        <w:t>PGE</w:t>
      </w:r>
      <w:r w:rsidR="005F316A">
        <w:t>_</w:t>
      </w:r>
      <w:r w:rsidR="00044C09">
        <w:t>Ind_</w:t>
      </w:r>
      <w:r w:rsidR="00971785">
        <w:t>002</w:t>
      </w:r>
      <w:r>
        <w:t xml:space="preserve"> </w:t>
      </w:r>
    </w:p>
    <w:p w14:paraId="2B34D6C7" w14:textId="45454F5F" w:rsidR="00DB03C9" w:rsidRPr="00C46F93" w:rsidRDefault="00DB03C9" w:rsidP="00C46F93">
      <w:pPr>
        <w:pStyle w:val="Heading2"/>
        <w:rPr>
          <w:sz w:val="24"/>
        </w:rPr>
      </w:pPr>
      <w:bookmarkStart w:id="8" w:name="_Toc8227866"/>
      <w:bookmarkStart w:id="9" w:name="_Toc57653947"/>
      <w:r>
        <w:rPr>
          <w:sz w:val="24"/>
        </w:rPr>
        <w:t xml:space="preserve">3. </w:t>
      </w:r>
      <w:r w:rsidR="00DD4F75">
        <w:rPr>
          <w:sz w:val="24"/>
        </w:rPr>
        <w:t xml:space="preserve">Program / </w:t>
      </w:r>
      <w:r w:rsidRPr="007C2955">
        <w:rPr>
          <w:sz w:val="24"/>
        </w:rPr>
        <w:t>Sub-program Budget Table</w:t>
      </w:r>
      <w:bookmarkEnd w:id="8"/>
      <w:bookmarkEnd w:id="9"/>
    </w:p>
    <w:tbl>
      <w:tblPr>
        <w:tblStyle w:val="CLEAResultTable"/>
        <w:tblW w:w="10075" w:type="dxa"/>
        <w:tblLook w:val="04A0" w:firstRow="1" w:lastRow="0" w:firstColumn="1" w:lastColumn="0" w:noHBand="0" w:noVBand="1"/>
      </w:tblPr>
      <w:tblGrid>
        <w:gridCol w:w="2194"/>
        <w:gridCol w:w="1481"/>
        <w:gridCol w:w="1450"/>
        <w:gridCol w:w="1440"/>
        <w:gridCol w:w="1440"/>
        <w:gridCol w:w="2070"/>
      </w:tblGrid>
      <w:tr w:rsidR="00B00D74" w:rsidRPr="00EB2D2F" w14:paraId="598BC377" w14:textId="3F716E55" w:rsidTr="001912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shd w:val="clear" w:color="auto" w:fill="007299" w:themeFill="accent2"/>
            <w:hideMark/>
          </w:tcPr>
          <w:p w14:paraId="25205887" w14:textId="732DAC5A" w:rsidR="00B00D74" w:rsidRPr="006E6B5D" w:rsidRDefault="00B00D74" w:rsidP="00DB03C9">
            <w:pPr>
              <w:jc w:val="center"/>
              <w:rPr>
                <w:sz w:val="22"/>
              </w:rPr>
            </w:pPr>
          </w:p>
        </w:tc>
        <w:tc>
          <w:tcPr>
            <w:tcW w:w="1481" w:type="dxa"/>
            <w:shd w:val="clear" w:color="auto" w:fill="007299" w:themeFill="accent2"/>
            <w:hideMark/>
          </w:tcPr>
          <w:p w14:paraId="64F0EA6A" w14:textId="65C2463D" w:rsidR="00B00D74" w:rsidRPr="006E6B5D" w:rsidRDefault="00B00D74" w:rsidP="00DB03C9">
            <w:pPr>
              <w:jc w:val="center"/>
              <w:cnfStyle w:val="100000000000" w:firstRow="1" w:lastRow="0" w:firstColumn="0" w:lastColumn="0" w:oddVBand="0" w:evenVBand="0" w:oddHBand="0" w:evenHBand="0" w:firstRowFirstColumn="0" w:firstRowLastColumn="0" w:lastRowFirstColumn="0" w:lastRowLastColumn="0"/>
              <w:rPr>
                <w:sz w:val="22"/>
              </w:rPr>
            </w:pPr>
            <w:r w:rsidRPr="006E6B5D">
              <w:rPr>
                <w:sz w:val="22"/>
              </w:rPr>
              <w:t>20</w:t>
            </w:r>
            <w:r>
              <w:rPr>
                <w:sz w:val="22"/>
              </w:rPr>
              <w:t>20</w:t>
            </w:r>
          </w:p>
        </w:tc>
        <w:tc>
          <w:tcPr>
            <w:tcW w:w="1450" w:type="dxa"/>
            <w:shd w:val="clear" w:color="auto" w:fill="007299" w:themeFill="accent2"/>
            <w:hideMark/>
          </w:tcPr>
          <w:p w14:paraId="095DC744" w14:textId="45CC4CF4" w:rsidR="00B00D74" w:rsidRPr="006E6B5D" w:rsidRDefault="00B00D74" w:rsidP="00DB03C9">
            <w:pPr>
              <w:jc w:val="center"/>
              <w:cnfStyle w:val="100000000000" w:firstRow="1" w:lastRow="0" w:firstColumn="0" w:lastColumn="0" w:oddVBand="0" w:evenVBand="0" w:oddHBand="0" w:evenHBand="0" w:firstRowFirstColumn="0" w:firstRowLastColumn="0" w:lastRowFirstColumn="0" w:lastRowLastColumn="0"/>
              <w:rPr>
                <w:sz w:val="22"/>
              </w:rPr>
            </w:pPr>
            <w:r w:rsidRPr="006E6B5D">
              <w:rPr>
                <w:sz w:val="22"/>
              </w:rPr>
              <w:t>202</w:t>
            </w:r>
            <w:r>
              <w:rPr>
                <w:sz w:val="22"/>
              </w:rPr>
              <w:t>1</w:t>
            </w:r>
          </w:p>
        </w:tc>
        <w:tc>
          <w:tcPr>
            <w:tcW w:w="1440" w:type="dxa"/>
            <w:shd w:val="clear" w:color="auto" w:fill="007299" w:themeFill="accent2"/>
            <w:hideMark/>
          </w:tcPr>
          <w:p w14:paraId="6DB23E9D" w14:textId="263B9AE7" w:rsidR="00B00D74" w:rsidRPr="006E6B5D" w:rsidRDefault="00B00D74" w:rsidP="00DB03C9">
            <w:pPr>
              <w:jc w:val="center"/>
              <w:cnfStyle w:val="100000000000" w:firstRow="1" w:lastRow="0" w:firstColumn="0" w:lastColumn="0" w:oddVBand="0" w:evenVBand="0" w:oddHBand="0" w:evenHBand="0" w:firstRowFirstColumn="0" w:firstRowLastColumn="0" w:lastRowFirstColumn="0" w:lastRowLastColumn="0"/>
              <w:rPr>
                <w:sz w:val="22"/>
              </w:rPr>
            </w:pPr>
            <w:r w:rsidRPr="006E6B5D">
              <w:rPr>
                <w:sz w:val="22"/>
              </w:rPr>
              <w:t>202</w:t>
            </w:r>
            <w:r>
              <w:rPr>
                <w:sz w:val="22"/>
              </w:rPr>
              <w:t>2</w:t>
            </w:r>
          </w:p>
        </w:tc>
        <w:tc>
          <w:tcPr>
            <w:tcW w:w="1440" w:type="dxa"/>
            <w:shd w:val="clear" w:color="auto" w:fill="007299" w:themeFill="accent2"/>
            <w:hideMark/>
          </w:tcPr>
          <w:p w14:paraId="6A18EEBD" w14:textId="72708B03" w:rsidR="00B00D74" w:rsidRPr="006E6B5D" w:rsidRDefault="00B00D74" w:rsidP="00DB03C9">
            <w:pPr>
              <w:jc w:val="center"/>
              <w:cnfStyle w:val="100000000000" w:firstRow="1" w:lastRow="0" w:firstColumn="0" w:lastColumn="0" w:oddVBand="0" w:evenVBand="0" w:oddHBand="0" w:evenHBand="0" w:firstRowFirstColumn="0" w:firstRowLastColumn="0" w:lastRowFirstColumn="0" w:lastRowLastColumn="0"/>
              <w:rPr>
                <w:sz w:val="22"/>
              </w:rPr>
            </w:pPr>
            <w:r>
              <w:rPr>
                <w:sz w:val="22"/>
              </w:rPr>
              <w:t>2023</w:t>
            </w:r>
          </w:p>
        </w:tc>
        <w:tc>
          <w:tcPr>
            <w:tcW w:w="2070" w:type="dxa"/>
            <w:shd w:val="clear" w:color="auto" w:fill="007299" w:themeFill="accent2"/>
          </w:tcPr>
          <w:p w14:paraId="7DA299AD" w14:textId="53CBE585" w:rsidR="00B00D74" w:rsidRDefault="00B00D74" w:rsidP="00DB03C9">
            <w:pPr>
              <w:jc w:val="center"/>
              <w:cnfStyle w:val="100000000000" w:firstRow="1" w:lastRow="0" w:firstColumn="0" w:lastColumn="0" w:oddVBand="0" w:evenVBand="0" w:oddHBand="0" w:evenHBand="0" w:firstRowFirstColumn="0" w:firstRowLastColumn="0" w:lastRowFirstColumn="0" w:lastRowLastColumn="0"/>
              <w:rPr>
                <w:sz w:val="22"/>
              </w:rPr>
            </w:pPr>
            <w:r>
              <w:rPr>
                <w:sz w:val="22"/>
              </w:rPr>
              <w:t>Total</w:t>
            </w:r>
          </w:p>
        </w:tc>
      </w:tr>
      <w:tr w:rsidR="00B00D74" w:rsidRPr="002B6C7E" w14:paraId="5A1AA301" w14:textId="7D81D123" w:rsidTr="001912B6">
        <w:tc>
          <w:tcPr>
            <w:cnfStyle w:val="001000000000" w:firstRow="0" w:lastRow="0" w:firstColumn="1" w:lastColumn="0" w:oddVBand="0" w:evenVBand="0" w:oddHBand="0" w:evenHBand="0" w:firstRowFirstColumn="0" w:firstRowLastColumn="0" w:lastRowFirstColumn="0" w:lastRowLastColumn="0"/>
            <w:tcW w:w="2194" w:type="dxa"/>
            <w:shd w:val="clear" w:color="auto" w:fill="D9D9D9" w:themeFill="background2" w:themeFillShade="D9"/>
            <w:hideMark/>
          </w:tcPr>
          <w:p w14:paraId="61D6A144" w14:textId="77777777" w:rsidR="00B00D74" w:rsidRPr="00CB08C4" w:rsidRDefault="00B00D74" w:rsidP="0009510C">
            <w:r w:rsidRPr="00CB08C4">
              <w:t>Admin</w:t>
            </w:r>
          </w:p>
        </w:tc>
        <w:tc>
          <w:tcPr>
            <w:tcW w:w="1481" w:type="dxa"/>
            <w:vAlign w:val="top"/>
          </w:tcPr>
          <w:p w14:paraId="01F5A345" w14:textId="096D3BF3" w:rsidR="00B00D74" w:rsidRPr="00BA246A" w:rsidRDefault="00B00D74" w:rsidP="0009510C">
            <w:pPr>
              <w:jc w:val="center"/>
              <w:cnfStyle w:val="000000000000" w:firstRow="0" w:lastRow="0" w:firstColumn="0" w:lastColumn="0" w:oddVBand="0" w:evenVBand="0" w:oddHBand="0" w:evenHBand="0" w:firstRowFirstColumn="0" w:firstRowLastColumn="0" w:lastRowFirstColumn="0" w:lastRowLastColumn="0"/>
            </w:pPr>
            <w:r w:rsidRPr="00BA246A">
              <w:rPr>
                <w:rFonts w:cs="Arial"/>
                <w:kern w:val="24"/>
              </w:rPr>
              <w:t>$83,588</w:t>
            </w:r>
          </w:p>
        </w:tc>
        <w:tc>
          <w:tcPr>
            <w:tcW w:w="1450" w:type="dxa"/>
            <w:vAlign w:val="top"/>
          </w:tcPr>
          <w:p w14:paraId="47854151" w14:textId="3EA1802A" w:rsidR="00B00D74" w:rsidRPr="00BA246A" w:rsidRDefault="00B00D74" w:rsidP="0009510C">
            <w:pPr>
              <w:jc w:val="center"/>
              <w:cnfStyle w:val="000000000000" w:firstRow="0" w:lastRow="0" w:firstColumn="0" w:lastColumn="0" w:oddVBand="0" w:evenVBand="0" w:oddHBand="0" w:evenHBand="0" w:firstRowFirstColumn="0" w:firstRowLastColumn="0" w:lastRowFirstColumn="0" w:lastRowLastColumn="0"/>
            </w:pPr>
            <w:r w:rsidRPr="00BA246A">
              <w:rPr>
                <w:rFonts w:cs="Arial"/>
                <w:kern w:val="24"/>
              </w:rPr>
              <w:t>$425,061</w:t>
            </w:r>
          </w:p>
        </w:tc>
        <w:tc>
          <w:tcPr>
            <w:tcW w:w="1440" w:type="dxa"/>
            <w:vAlign w:val="top"/>
          </w:tcPr>
          <w:p w14:paraId="5E27A38F" w14:textId="54BEAF83" w:rsidR="00B00D74" w:rsidRPr="00BA246A" w:rsidRDefault="00B00D74" w:rsidP="0009510C">
            <w:pPr>
              <w:jc w:val="center"/>
              <w:cnfStyle w:val="000000000000" w:firstRow="0" w:lastRow="0" w:firstColumn="0" w:lastColumn="0" w:oddVBand="0" w:evenVBand="0" w:oddHBand="0" w:evenHBand="0" w:firstRowFirstColumn="0" w:firstRowLastColumn="0" w:lastRowFirstColumn="0" w:lastRowLastColumn="0"/>
            </w:pPr>
            <w:r w:rsidRPr="00BA246A">
              <w:rPr>
                <w:rFonts w:cs="Arial"/>
                <w:kern w:val="24"/>
              </w:rPr>
              <w:t>$722,332</w:t>
            </w:r>
          </w:p>
        </w:tc>
        <w:tc>
          <w:tcPr>
            <w:tcW w:w="1440" w:type="dxa"/>
            <w:vAlign w:val="top"/>
          </w:tcPr>
          <w:p w14:paraId="31BA7B58" w14:textId="32600FC7" w:rsidR="00B00D74" w:rsidRPr="00BA246A" w:rsidRDefault="00B00D74" w:rsidP="0009510C">
            <w:pPr>
              <w:jc w:val="center"/>
              <w:cnfStyle w:val="000000000000" w:firstRow="0" w:lastRow="0" w:firstColumn="0" w:lastColumn="0" w:oddVBand="0" w:evenVBand="0" w:oddHBand="0" w:evenHBand="0" w:firstRowFirstColumn="0" w:firstRowLastColumn="0" w:lastRowFirstColumn="0" w:lastRowLastColumn="0"/>
            </w:pPr>
            <w:r w:rsidRPr="00BA246A">
              <w:rPr>
                <w:rFonts w:cs="Arial"/>
                <w:kern w:val="24"/>
              </w:rPr>
              <w:t>$908,103</w:t>
            </w:r>
          </w:p>
        </w:tc>
        <w:tc>
          <w:tcPr>
            <w:tcW w:w="2070" w:type="dxa"/>
          </w:tcPr>
          <w:p w14:paraId="7841362E" w14:textId="1738A850" w:rsidR="00B00D74" w:rsidRPr="00BA246A" w:rsidRDefault="00B851EB" w:rsidP="0009510C">
            <w:pPr>
              <w:jc w:val="center"/>
              <w:cnfStyle w:val="000000000000" w:firstRow="0" w:lastRow="0" w:firstColumn="0" w:lastColumn="0" w:oddVBand="0" w:evenVBand="0" w:oddHBand="0" w:evenHBand="0" w:firstRowFirstColumn="0" w:firstRowLastColumn="0" w:lastRowFirstColumn="0" w:lastRowLastColumn="0"/>
              <w:rPr>
                <w:rFonts w:cs="Arial"/>
                <w:kern w:val="24"/>
              </w:rPr>
            </w:pPr>
            <w:r>
              <w:rPr>
                <w:rFonts w:cs="Arial"/>
                <w:kern w:val="24"/>
              </w:rPr>
              <w:t>$</w:t>
            </w:r>
            <w:r w:rsidR="00F23A72">
              <w:rPr>
                <w:rFonts w:cs="Arial"/>
                <w:kern w:val="24"/>
              </w:rPr>
              <w:t>2,139</w:t>
            </w:r>
            <w:r w:rsidR="0081147D">
              <w:rPr>
                <w:rFonts w:cs="Arial"/>
                <w:kern w:val="24"/>
              </w:rPr>
              <w:t>,084</w:t>
            </w:r>
          </w:p>
        </w:tc>
      </w:tr>
      <w:tr w:rsidR="00B00D74" w:rsidRPr="002B6C7E" w14:paraId="3D8BD784" w14:textId="144D7AEB" w:rsidTr="001912B6">
        <w:tc>
          <w:tcPr>
            <w:cnfStyle w:val="001000000000" w:firstRow="0" w:lastRow="0" w:firstColumn="1" w:lastColumn="0" w:oddVBand="0" w:evenVBand="0" w:oddHBand="0" w:evenHBand="0" w:firstRowFirstColumn="0" w:firstRowLastColumn="0" w:lastRowFirstColumn="0" w:lastRowLastColumn="0"/>
            <w:tcW w:w="2194" w:type="dxa"/>
            <w:shd w:val="clear" w:color="auto" w:fill="D9D9D9" w:themeFill="background2" w:themeFillShade="D9"/>
            <w:hideMark/>
          </w:tcPr>
          <w:p w14:paraId="4AEC3481" w14:textId="77777777" w:rsidR="00B00D74" w:rsidRPr="00CB08C4" w:rsidRDefault="00B00D74" w:rsidP="00BA246A">
            <w:r w:rsidRPr="00CB08C4">
              <w:t>Marketing and Outreach</w:t>
            </w:r>
          </w:p>
        </w:tc>
        <w:tc>
          <w:tcPr>
            <w:tcW w:w="1481" w:type="dxa"/>
            <w:vAlign w:val="top"/>
          </w:tcPr>
          <w:p w14:paraId="62A71C37" w14:textId="665DFBED" w:rsidR="00B00D74" w:rsidRPr="00BA246A" w:rsidRDefault="00B00D74" w:rsidP="00BA246A">
            <w:pPr>
              <w:jc w:val="center"/>
              <w:cnfStyle w:val="000000000000" w:firstRow="0" w:lastRow="0" w:firstColumn="0" w:lastColumn="0" w:oddVBand="0" w:evenVBand="0" w:oddHBand="0" w:evenHBand="0" w:firstRowFirstColumn="0" w:firstRowLastColumn="0" w:lastRowFirstColumn="0" w:lastRowLastColumn="0"/>
            </w:pPr>
            <w:r w:rsidRPr="00BA246A">
              <w:rPr>
                <w:rFonts w:cs="Arial"/>
                <w:kern w:val="24"/>
              </w:rPr>
              <w:t>$41,794</w:t>
            </w:r>
          </w:p>
        </w:tc>
        <w:tc>
          <w:tcPr>
            <w:tcW w:w="1450" w:type="dxa"/>
            <w:vAlign w:val="top"/>
          </w:tcPr>
          <w:p w14:paraId="3FF264A3" w14:textId="3E96AAFC" w:rsidR="00B00D74" w:rsidRPr="00BA246A" w:rsidRDefault="00B00D74" w:rsidP="00BA246A">
            <w:pPr>
              <w:jc w:val="center"/>
              <w:cnfStyle w:val="000000000000" w:firstRow="0" w:lastRow="0" w:firstColumn="0" w:lastColumn="0" w:oddVBand="0" w:evenVBand="0" w:oddHBand="0" w:evenHBand="0" w:firstRowFirstColumn="0" w:firstRowLastColumn="0" w:lastRowFirstColumn="0" w:lastRowLastColumn="0"/>
            </w:pPr>
            <w:r w:rsidRPr="00BA246A">
              <w:rPr>
                <w:rFonts w:cs="Arial"/>
                <w:kern w:val="24"/>
              </w:rPr>
              <w:t>$212,531</w:t>
            </w:r>
          </w:p>
        </w:tc>
        <w:tc>
          <w:tcPr>
            <w:tcW w:w="1440" w:type="dxa"/>
            <w:vAlign w:val="top"/>
          </w:tcPr>
          <w:p w14:paraId="510BA851" w14:textId="352A5100" w:rsidR="00B00D74" w:rsidRPr="00BA246A" w:rsidRDefault="00B00D74" w:rsidP="00BA246A">
            <w:pPr>
              <w:jc w:val="center"/>
              <w:cnfStyle w:val="000000000000" w:firstRow="0" w:lastRow="0" w:firstColumn="0" w:lastColumn="0" w:oddVBand="0" w:evenVBand="0" w:oddHBand="0" w:evenHBand="0" w:firstRowFirstColumn="0" w:firstRowLastColumn="0" w:lastRowFirstColumn="0" w:lastRowLastColumn="0"/>
            </w:pPr>
            <w:r w:rsidRPr="00BA246A">
              <w:rPr>
                <w:rFonts w:cs="Arial"/>
                <w:kern w:val="24"/>
              </w:rPr>
              <w:t>$361,166</w:t>
            </w:r>
          </w:p>
        </w:tc>
        <w:tc>
          <w:tcPr>
            <w:tcW w:w="1440" w:type="dxa"/>
            <w:vAlign w:val="top"/>
          </w:tcPr>
          <w:p w14:paraId="474502DE" w14:textId="33724378" w:rsidR="00B00D74" w:rsidRPr="00BA246A" w:rsidRDefault="00B00D74" w:rsidP="24A00BF3">
            <w:pPr>
              <w:jc w:val="center"/>
              <w:cnfStyle w:val="000000000000" w:firstRow="0" w:lastRow="0" w:firstColumn="0" w:lastColumn="0" w:oddVBand="0" w:evenVBand="0" w:oddHBand="0" w:evenHBand="0" w:firstRowFirstColumn="0" w:firstRowLastColumn="0" w:lastRowFirstColumn="0" w:lastRowLastColumn="0"/>
              <w:rPr>
                <w:szCs w:val="18"/>
              </w:rPr>
            </w:pPr>
            <w:r>
              <w:t>$454,052</w:t>
            </w:r>
          </w:p>
        </w:tc>
        <w:tc>
          <w:tcPr>
            <w:tcW w:w="2070" w:type="dxa"/>
          </w:tcPr>
          <w:p w14:paraId="7B7141DD" w14:textId="7A288E93" w:rsidR="00B00D74" w:rsidRDefault="00B851EB" w:rsidP="24A00BF3">
            <w:pPr>
              <w:jc w:val="center"/>
              <w:cnfStyle w:val="000000000000" w:firstRow="0" w:lastRow="0" w:firstColumn="0" w:lastColumn="0" w:oddVBand="0" w:evenVBand="0" w:oddHBand="0" w:evenHBand="0" w:firstRowFirstColumn="0" w:firstRowLastColumn="0" w:lastRowFirstColumn="0" w:lastRowLastColumn="0"/>
            </w:pPr>
            <w:r>
              <w:t>$</w:t>
            </w:r>
            <w:r w:rsidR="00EC42BB">
              <w:t>1,069,543</w:t>
            </w:r>
          </w:p>
        </w:tc>
      </w:tr>
      <w:tr w:rsidR="00B00D74" w:rsidRPr="002B6C7E" w14:paraId="2349BA30" w14:textId="66C3D14B" w:rsidTr="001912B6">
        <w:tc>
          <w:tcPr>
            <w:cnfStyle w:val="001000000000" w:firstRow="0" w:lastRow="0" w:firstColumn="1" w:lastColumn="0" w:oddVBand="0" w:evenVBand="0" w:oddHBand="0" w:evenHBand="0" w:firstRowFirstColumn="0" w:firstRowLastColumn="0" w:lastRowFirstColumn="0" w:lastRowLastColumn="0"/>
            <w:tcW w:w="2194" w:type="dxa"/>
            <w:shd w:val="clear" w:color="auto" w:fill="D9D9D9" w:themeFill="background2" w:themeFillShade="D9"/>
            <w:hideMark/>
          </w:tcPr>
          <w:p w14:paraId="38D7A6C4" w14:textId="77777777" w:rsidR="00B00D74" w:rsidRPr="00CB08C4" w:rsidRDefault="00B00D74" w:rsidP="00286B71">
            <w:r w:rsidRPr="00CB08C4">
              <w:t>Direct Implementation - Non-Incentive (DINI)</w:t>
            </w:r>
          </w:p>
        </w:tc>
        <w:tc>
          <w:tcPr>
            <w:tcW w:w="1481" w:type="dxa"/>
            <w:vAlign w:val="top"/>
          </w:tcPr>
          <w:p w14:paraId="44256F71" w14:textId="73188652" w:rsidR="00B00D74" w:rsidRPr="00286B71" w:rsidRDefault="00B00D74" w:rsidP="00286B71">
            <w:pPr>
              <w:jc w:val="center"/>
              <w:cnfStyle w:val="000000000000" w:firstRow="0" w:lastRow="0" w:firstColumn="0" w:lastColumn="0" w:oddVBand="0" w:evenVBand="0" w:oddHBand="0" w:evenHBand="0" w:firstRowFirstColumn="0" w:firstRowLastColumn="0" w:lastRowFirstColumn="0" w:lastRowLastColumn="0"/>
            </w:pPr>
            <w:r w:rsidRPr="00286B71">
              <w:rPr>
                <w:rFonts w:cs="Arial"/>
                <w:kern w:val="24"/>
              </w:rPr>
              <w:t>$292,557</w:t>
            </w:r>
          </w:p>
        </w:tc>
        <w:tc>
          <w:tcPr>
            <w:tcW w:w="1450" w:type="dxa"/>
            <w:vAlign w:val="top"/>
          </w:tcPr>
          <w:p w14:paraId="6B310B67" w14:textId="0EE5DF6B" w:rsidR="00B00D74" w:rsidRPr="00286B71" w:rsidRDefault="00B00D74" w:rsidP="00286B71">
            <w:pPr>
              <w:jc w:val="center"/>
              <w:cnfStyle w:val="000000000000" w:firstRow="0" w:lastRow="0" w:firstColumn="0" w:lastColumn="0" w:oddVBand="0" w:evenVBand="0" w:oddHBand="0" w:evenHBand="0" w:firstRowFirstColumn="0" w:firstRowLastColumn="0" w:lastRowFirstColumn="0" w:lastRowLastColumn="0"/>
            </w:pPr>
            <w:r w:rsidRPr="00286B71">
              <w:rPr>
                <w:rFonts w:cs="Arial"/>
                <w:kern w:val="24"/>
              </w:rPr>
              <w:t>$1,780,400</w:t>
            </w:r>
          </w:p>
        </w:tc>
        <w:tc>
          <w:tcPr>
            <w:tcW w:w="1440" w:type="dxa"/>
            <w:vAlign w:val="top"/>
          </w:tcPr>
          <w:p w14:paraId="538F67F3" w14:textId="23B8C771" w:rsidR="00B00D74" w:rsidRPr="00286B71" w:rsidRDefault="00B00D74" w:rsidP="00286B71">
            <w:pPr>
              <w:jc w:val="center"/>
              <w:cnfStyle w:val="000000000000" w:firstRow="0" w:lastRow="0" w:firstColumn="0" w:lastColumn="0" w:oddVBand="0" w:evenVBand="0" w:oddHBand="0" w:evenHBand="0" w:firstRowFirstColumn="0" w:firstRowLastColumn="0" w:lastRowFirstColumn="0" w:lastRowLastColumn="0"/>
            </w:pPr>
            <w:r w:rsidRPr="00286B71">
              <w:rPr>
                <w:rFonts w:cs="Arial"/>
                <w:kern w:val="24"/>
              </w:rPr>
              <w:t>$2,988,723</w:t>
            </w:r>
          </w:p>
        </w:tc>
        <w:tc>
          <w:tcPr>
            <w:tcW w:w="1440" w:type="dxa"/>
            <w:vAlign w:val="top"/>
          </w:tcPr>
          <w:p w14:paraId="3F93C718" w14:textId="02C7FD0A" w:rsidR="00B00D74" w:rsidRPr="00286B71" w:rsidRDefault="00B00D74" w:rsidP="00286B71">
            <w:pPr>
              <w:jc w:val="center"/>
              <w:cnfStyle w:val="000000000000" w:firstRow="0" w:lastRow="0" w:firstColumn="0" w:lastColumn="0" w:oddVBand="0" w:evenVBand="0" w:oddHBand="0" w:evenHBand="0" w:firstRowFirstColumn="0" w:firstRowLastColumn="0" w:lastRowFirstColumn="0" w:lastRowLastColumn="0"/>
            </w:pPr>
            <w:r w:rsidRPr="00286B71">
              <w:rPr>
                <w:rFonts w:cs="Arial"/>
                <w:kern w:val="24"/>
              </w:rPr>
              <w:t>$3,736,853</w:t>
            </w:r>
          </w:p>
        </w:tc>
        <w:tc>
          <w:tcPr>
            <w:tcW w:w="2070" w:type="dxa"/>
          </w:tcPr>
          <w:p w14:paraId="0141127A" w14:textId="2D42A56B" w:rsidR="00B00D74" w:rsidRPr="00286B71" w:rsidRDefault="004D6A39" w:rsidP="00286B71">
            <w:pPr>
              <w:jc w:val="center"/>
              <w:cnfStyle w:val="000000000000" w:firstRow="0" w:lastRow="0" w:firstColumn="0" w:lastColumn="0" w:oddVBand="0" w:evenVBand="0" w:oddHBand="0" w:evenHBand="0" w:firstRowFirstColumn="0" w:firstRowLastColumn="0" w:lastRowFirstColumn="0" w:lastRowLastColumn="0"/>
              <w:rPr>
                <w:rFonts w:cs="Arial"/>
                <w:kern w:val="24"/>
              </w:rPr>
            </w:pPr>
            <w:r>
              <w:rPr>
                <w:rFonts w:cs="Arial"/>
                <w:kern w:val="24"/>
              </w:rPr>
              <w:t>$8,798,</w:t>
            </w:r>
            <w:r w:rsidR="001F0546">
              <w:rPr>
                <w:rFonts w:cs="Arial"/>
                <w:kern w:val="24"/>
              </w:rPr>
              <w:t>533</w:t>
            </w:r>
          </w:p>
        </w:tc>
      </w:tr>
      <w:tr w:rsidR="00B00D74" w:rsidRPr="002B6C7E" w14:paraId="54B5B400" w14:textId="0701B26E" w:rsidTr="001912B6">
        <w:tc>
          <w:tcPr>
            <w:cnfStyle w:val="001000000000" w:firstRow="0" w:lastRow="0" w:firstColumn="1" w:lastColumn="0" w:oddVBand="0" w:evenVBand="0" w:oddHBand="0" w:evenHBand="0" w:firstRowFirstColumn="0" w:firstRowLastColumn="0" w:lastRowFirstColumn="0" w:lastRowLastColumn="0"/>
            <w:tcW w:w="2194" w:type="dxa"/>
            <w:shd w:val="clear" w:color="auto" w:fill="D9D9D9" w:themeFill="background2" w:themeFillShade="D9"/>
          </w:tcPr>
          <w:p w14:paraId="5E788E70" w14:textId="77777777" w:rsidR="00B00D74" w:rsidRPr="00CB08C4" w:rsidRDefault="00B00D74" w:rsidP="00C008B3">
            <w:r w:rsidRPr="00CB08C4">
              <w:t>Incentives</w:t>
            </w:r>
          </w:p>
        </w:tc>
        <w:tc>
          <w:tcPr>
            <w:tcW w:w="1481" w:type="dxa"/>
            <w:vAlign w:val="top"/>
          </w:tcPr>
          <w:p w14:paraId="51FD5812" w14:textId="3DDCBF75" w:rsidR="00B00D74" w:rsidRPr="00C008B3" w:rsidRDefault="00B00D74" w:rsidP="00C008B3">
            <w:pPr>
              <w:jc w:val="center"/>
              <w:cnfStyle w:val="000000000000" w:firstRow="0" w:lastRow="0" w:firstColumn="0" w:lastColumn="0" w:oddVBand="0" w:evenVBand="0" w:oddHBand="0" w:evenHBand="0" w:firstRowFirstColumn="0" w:firstRowLastColumn="0" w:lastRowFirstColumn="0" w:lastRowLastColumn="0"/>
            </w:pPr>
            <w:r w:rsidRPr="00C008B3">
              <w:rPr>
                <w:rFonts w:cs="Arial"/>
                <w:kern w:val="24"/>
              </w:rPr>
              <w:t>$0</w:t>
            </w:r>
          </w:p>
        </w:tc>
        <w:tc>
          <w:tcPr>
            <w:tcW w:w="1450" w:type="dxa"/>
            <w:vAlign w:val="top"/>
          </w:tcPr>
          <w:p w14:paraId="7F288E44" w14:textId="58A9C065" w:rsidR="00B00D74" w:rsidRPr="00C008B3" w:rsidRDefault="00B00D74" w:rsidP="00C008B3">
            <w:pPr>
              <w:jc w:val="center"/>
              <w:cnfStyle w:val="000000000000" w:firstRow="0" w:lastRow="0" w:firstColumn="0" w:lastColumn="0" w:oddVBand="0" w:evenVBand="0" w:oddHBand="0" w:evenHBand="0" w:firstRowFirstColumn="0" w:firstRowLastColumn="0" w:lastRowFirstColumn="0" w:lastRowLastColumn="0"/>
            </w:pPr>
            <w:r w:rsidRPr="00C008B3">
              <w:rPr>
                <w:rFonts w:cs="Arial"/>
                <w:kern w:val="24"/>
              </w:rPr>
              <w:t>$2,228,357</w:t>
            </w:r>
          </w:p>
        </w:tc>
        <w:tc>
          <w:tcPr>
            <w:tcW w:w="1440" w:type="dxa"/>
            <w:vAlign w:val="top"/>
          </w:tcPr>
          <w:p w14:paraId="51E6BDD7" w14:textId="0346DB2E" w:rsidR="00B00D74" w:rsidRPr="00C008B3" w:rsidRDefault="00B00D74" w:rsidP="00C008B3">
            <w:pPr>
              <w:jc w:val="center"/>
              <w:cnfStyle w:val="000000000000" w:firstRow="0" w:lastRow="0" w:firstColumn="0" w:lastColumn="0" w:oddVBand="0" w:evenVBand="0" w:oddHBand="0" w:evenHBand="0" w:firstRowFirstColumn="0" w:firstRowLastColumn="0" w:lastRowFirstColumn="0" w:lastRowLastColumn="0"/>
            </w:pPr>
            <w:r w:rsidRPr="00C008B3">
              <w:rPr>
                <w:rFonts w:cs="Arial"/>
                <w:kern w:val="24"/>
              </w:rPr>
              <w:t>$3,568,870</w:t>
            </w:r>
          </w:p>
        </w:tc>
        <w:tc>
          <w:tcPr>
            <w:tcW w:w="1440" w:type="dxa"/>
            <w:vAlign w:val="top"/>
          </w:tcPr>
          <w:p w14:paraId="1C0DB3C1" w14:textId="50532A2F" w:rsidR="00B00D74" w:rsidRPr="00C008B3" w:rsidRDefault="00B00D74" w:rsidP="00C008B3">
            <w:pPr>
              <w:jc w:val="center"/>
              <w:cnfStyle w:val="000000000000" w:firstRow="0" w:lastRow="0" w:firstColumn="0" w:lastColumn="0" w:oddVBand="0" w:evenVBand="0" w:oddHBand="0" w:evenHBand="0" w:firstRowFirstColumn="0" w:firstRowLastColumn="0" w:lastRowFirstColumn="0" w:lastRowLastColumn="0"/>
            </w:pPr>
            <w:r w:rsidRPr="00C008B3">
              <w:rPr>
                <w:rFonts w:cs="Arial"/>
                <w:kern w:val="24"/>
              </w:rPr>
              <w:t>$4,495,133</w:t>
            </w:r>
          </w:p>
        </w:tc>
        <w:tc>
          <w:tcPr>
            <w:tcW w:w="2070" w:type="dxa"/>
          </w:tcPr>
          <w:p w14:paraId="6726D1B8" w14:textId="3294A29C" w:rsidR="00B00D74" w:rsidRPr="00C008B3" w:rsidRDefault="00E0051A" w:rsidP="00C008B3">
            <w:pPr>
              <w:jc w:val="center"/>
              <w:cnfStyle w:val="000000000000" w:firstRow="0" w:lastRow="0" w:firstColumn="0" w:lastColumn="0" w:oddVBand="0" w:evenVBand="0" w:oddHBand="0" w:evenHBand="0" w:firstRowFirstColumn="0" w:firstRowLastColumn="0" w:lastRowFirstColumn="0" w:lastRowLastColumn="0"/>
              <w:rPr>
                <w:rFonts w:cs="Arial"/>
                <w:kern w:val="24"/>
              </w:rPr>
            </w:pPr>
            <w:r>
              <w:rPr>
                <w:rFonts w:cs="Arial"/>
                <w:kern w:val="24"/>
              </w:rPr>
              <w:t>$10,</w:t>
            </w:r>
            <w:r w:rsidR="00B301B6">
              <w:rPr>
                <w:rFonts w:cs="Arial"/>
                <w:kern w:val="24"/>
              </w:rPr>
              <w:t>292,</w:t>
            </w:r>
            <w:r w:rsidR="00FD5A1E">
              <w:rPr>
                <w:rFonts w:cs="Arial"/>
                <w:kern w:val="24"/>
              </w:rPr>
              <w:t>359</w:t>
            </w:r>
          </w:p>
        </w:tc>
      </w:tr>
      <w:tr w:rsidR="00B00D74" w:rsidRPr="002B6C7E" w14:paraId="78E058A3" w14:textId="76A4A40D" w:rsidTr="001912B6">
        <w:tc>
          <w:tcPr>
            <w:cnfStyle w:val="001000000000" w:firstRow="0" w:lastRow="0" w:firstColumn="1" w:lastColumn="0" w:oddVBand="0" w:evenVBand="0" w:oddHBand="0" w:evenHBand="0" w:firstRowFirstColumn="0" w:firstRowLastColumn="0" w:lastRowFirstColumn="0" w:lastRowLastColumn="0"/>
            <w:tcW w:w="2194" w:type="dxa"/>
            <w:shd w:val="clear" w:color="auto" w:fill="D9D9D9" w:themeFill="background2" w:themeFillShade="D9"/>
            <w:hideMark/>
          </w:tcPr>
          <w:p w14:paraId="59C74960" w14:textId="77777777" w:rsidR="00B00D74" w:rsidRPr="00CB08C4" w:rsidRDefault="00B00D74" w:rsidP="00D80FED">
            <w:pPr>
              <w:rPr>
                <w:b/>
              </w:rPr>
            </w:pPr>
            <w:r w:rsidRPr="00CB08C4">
              <w:rPr>
                <w:b/>
              </w:rPr>
              <w:t>Total</w:t>
            </w:r>
          </w:p>
        </w:tc>
        <w:tc>
          <w:tcPr>
            <w:tcW w:w="1481" w:type="dxa"/>
            <w:vAlign w:val="top"/>
          </w:tcPr>
          <w:p w14:paraId="4D56DEDC" w14:textId="3A3933CA" w:rsidR="00B00D74" w:rsidRPr="00D80FED" w:rsidRDefault="00B00D74" w:rsidP="00D80FED">
            <w:pPr>
              <w:jc w:val="center"/>
              <w:cnfStyle w:val="000000000000" w:firstRow="0" w:lastRow="0" w:firstColumn="0" w:lastColumn="0" w:oddVBand="0" w:evenVBand="0" w:oddHBand="0" w:evenHBand="0" w:firstRowFirstColumn="0" w:firstRowLastColumn="0" w:lastRowFirstColumn="0" w:lastRowLastColumn="0"/>
              <w:rPr>
                <w:b/>
                <w:bCs/>
              </w:rPr>
            </w:pPr>
            <w:r w:rsidRPr="00D80FED">
              <w:rPr>
                <w:rFonts w:cs="Arial"/>
                <w:b/>
                <w:bCs/>
                <w:kern w:val="24"/>
              </w:rPr>
              <w:t>$417,939</w:t>
            </w:r>
          </w:p>
        </w:tc>
        <w:tc>
          <w:tcPr>
            <w:tcW w:w="1450" w:type="dxa"/>
            <w:vAlign w:val="top"/>
          </w:tcPr>
          <w:p w14:paraId="18B088D9" w14:textId="3F84AA6B" w:rsidR="00B00D74" w:rsidRPr="00D80FED" w:rsidRDefault="00B00D74" w:rsidP="00D80FED">
            <w:pPr>
              <w:jc w:val="center"/>
              <w:cnfStyle w:val="000000000000" w:firstRow="0" w:lastRow="0" w:firstColumn="0" w:lastColumn="0" w:oddVBand="0" w:evenVBand="0" w:oddHBand="0" w:evenHBand="0" w:firstRowFirstColumn="0" w:firstRowLastColumn="0" w:lastRowFirstColumn="0" w:lastRowLastColumn="0"/>
              <w:rPr>
                <w:b/>
                <w:bCs/>
              </w:rPr>
            </w:pPr>
            <w:r w:rsidRPr="00D80FED">
              <w:rPr>
                <w:rFonts w:cs="Arial"/>
                <w:b/>
                <w:bCs/>
                <w:kern w:val="24"/>
              </w:rPr>
              <w:t>$4,646,349</w:t>
            </w:r>
          </w:p>
        </w:tc>
        <w:tc>
          <w:tcPr>
            <w:tcW w:w="1440" w:type="dxa"/>
            <w:vAlign w:val="top"/>
          </w:tcPr>
          <w:p w14:paraId="477EA806" w14:textId="5F8AA323" w:rsidR="00B00D74" w:rsidRPr="00D80FED" w:rsidRDefault="00B00D74" w:rsidP="00D80FED">
            <w:pPr>
              <w:jc w:val="center"/>
              <w:cnfStyle w:val="000000000000" w:firstRow="0" w:lastRow="0" w:firstColumn="0" w:lastColumn="0" w:oddVBand="0" w:evenVBand="0" w:oddHBand="0" w:evenHBand="0" w:firstRowFirstColumn="0" w:firstRowLastColumn="0" w:lastRowFirstColumn="0" w:lastRowLastColumn="0"/>
              <w:rPr>
                <w:b/>
                <w:bCs/>
              </w:rPr>
            </w:pPr>
            <w:r w:rsidRPr="00D80FED">
              <w:rPr>
                <w:rFonts w:cs="Arial"/>
                <w:b/>
                <w:bCs/>
                <w:kern w:val="24"/>
              </w:rPr>
              <w:t>$7,641,091</w:t>
            </w:r>
          </w:p>
        </w:tc>
        <w:tc>
          <w:tcPr>
            <w:tcW w:w="1440" w:type="dxa"/>
            <w:vAlign w:val="top"/>
          </w:tcPr>
          <w:p w14:paraId="6100DB0C" w14:textId="64A14E81" w:rsidR="00B00D74" w:rsidRPr="00D80FED" w:rsidRDefault="00B00D74" w:rsidP="00D80FED">
            <w:pPr>
              <w:jc w:val="center"/>
              <w:cnfStyle w:val="000000000000" w:firstRow="0" w:lastRow="0" w:firstColumn="0" w:lastColumn="0" w:oddVBand="0" w:evenVBand="0" w:oddHBand="0" w:evenHBand="0" w:firstRowFirstColumn="0" w:firstRowLastColumn="0" w:lastRowFirstColumn="0" w:lastRowLastColumn="0"/>
              <w:rPr>
                <w:b/>
                <w:bCs/>
              </w:rPr>
            </w:pPr>
            <w:r w:rsidRPr="00D80FED">
              <w:rPr>
                <w:rFonts w:cs="Arial"/>
                <w:b/>
                <w:bCs/>
                <w:kern w:val="24"/>
              </w:rPr>
              <w:t>$9,594,141</w:t>
            </w:r>
          </w:p>
        </w:tc>
        <w:tc>
          <w:tcPr>
            <w:tcW w:w="2070" w:type="dxa"/>
          </w:tcPr>
          <w:p w14:paraId="25368833" w14:textId="2A2ED9B3" w:rsidR="00B00D74" w:rsidRPr="00D80FED" w:rsidRDefault="00FA2F7B" w:rsidP="00D80FED">
            <w:pPr>
              <w:jc w:val="center"/>
              <w:cnfStyle w:val="000000000000" w:firstRow="0" w:lastRow="0" w:firstColumn="0" w:lastColumn="0" w:oddVBand="0" w:evenVBand="0" w:oddHBand="0" w:evenHBand="0" w:firstRowFirstColumn="0" w:firstRowLastColumn="0" w:lastRowFirstColumn="0" w:lastRowLastColumn="0"/>
              <w:rPr>
                <w:rFonts w:cs="Arial"/>
                <w:b/>
                <w:bCs/>
                <w:kern w:val="24"/>
              </w:rPr>
            </w:pPr>
            <w:r>
              <w:rPr>
                <w:rFonts w:cs="Arial"/>
                <w:b/>
                <w:bCs/>
                <w:kern w:val="24"/>
              </w:rPr>
              <w:t>$22,299,520</w:t>
            </w:r>
          </w:p>
        </w:tc>
      </w:tr>
    </w:tbl>
    <w:p w14:paraId="6E4C14C9" w14:textId="4120F5BB" w:rsidR="00DB03C9" w:rsidRDefault="00DB03C9" w:rsidP="00DB03C9">
      <w:pPr>
        <w:pStyle w:val="Heading2"/>
        <w:rPr>
          <w:sz w:val="24"/>
        </w:rPr>
      </w:pPr>
      <w:bookmarkStart w:id="10" w:name="_Toc8227867"/>
      <w:bookmarkStart w:id="11" w:name="_Toc57653948"/>
      <w:r>
        <w:rPr>
          <w:sz w:val="24"/>
        </w:rPr>
        <w:t xml:space="preserve">4. </w:t>
      </w:r>
      <w:bookmarkEnd w:id="10"/>
      <w:r w:rsidR="00910811">
        <w:rPr>
          <w:sz w:val="24"/>
        </w:rPr>
        <w:t>Program / Sub-Program Gross impacts table</w:t>
      </w:r>
      <w:bookmarkEnd w:id="11"/>
      <w:r>
        <w:rPr>
          <w:sz w:val="24"/>
        </w:rPr>
        <w:t xml:space="preserve"> </w:t>
      </w:r>
      <w:r w:rsidRPr="007C2955">
        <w:rPr>
          <w:sz w:val="24"/>
        </w:rPr>
        <w:t xml:space="preserve"> </w:t>
      </w:r>
    </w:p>
    <w:tbl>
      <w:tblPr>
        <w:tblStyle w:val="CLEAResultTable"/>
        <w:tblW w:w="10075" w:type="dxa"/>
        <w:tblLayout w:type="fixed"/>
        <w:tblLook w:val="06A0" w:firstRow="1" w:lastRow="0" w:firstColumn="1" w:lastColumn="0" w:noHBand="1" w:noVBand="1"/>
      </w:tblPr>
      <w:tblGrid>
        <w:gridCol w:w="1345"/>
        <w:gridCol w:w="990"/>
        <w:gridCol w:w="1080"/>
        <w:gridCol w:w="1170"/>
        <w:gridCol w:w="990"/>
        <w:gridCol w:w="1170"/>
        <w:gridCol w:w="1170"/>
        <w:gridCol w:w="1080"/>
        <w:gridCol w:w="1080"/>
      </w:tblGrid>
      <w:tr w:rsidR="005D797C" w:rsidRPr="002B6C7E" w14:paraId="544C6542" w14:textId="77777777" w:rsidTr="00585364">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075" w:type="dxa"/>
            <w:gridSpan w:val="9"/>
          </w:tcPr>
          <w:p w14:paraId="29559BF2" w14:textId="657CD899" w:rsidR="005D797C" w:rsidRPr="00121F39" w:rsidRDefault="005D797C" w:rsidP="00DB03C9">
            <w:pPr>
              <w:jc w:val="center"/>
              <w:rPr>
                <w:sz w:val="22"/>
              </w:rPr>
            </w:pPr>
            <w:r w:rsidRPr="00DB03C9">
              <w:t>Program Goals</w:t>
            </w:r>
          </w:p>
        </w:tc>
      </w:tr>
      <w:tr w:rsidR="00B825EA" w:rsidRPr="002B6C7E" w14:paraId="5D34A7E3" w14:textId="77777777" w:rsidTr="00714EED">
        <w:trPr>
          <w:trHeight w:val="304"/>
        </w:trPr>
        <w:tc>
          <w:tcPr>
            <w:cnfStyle w:val="001000000000" w:firstRow="0" w:lastRow="0" w:firstColumn="1" w:lastColumn="0" w:oddVBand="0" w:evenVBand="0" w:oddHBand="0" w:evenHBand="0" w:firstRowFirstColumn="0" w:firstRowLastColumn="0" w:lastRowFirstColumn="0" w:lastRowLastColumn="0"/>
            <w:tcW w:w="3415" w:type="dxa"/>
            <w:gridSpan w:val="3"/>
            <w:shd w:val="clear" w:color="auto" w:fill="auto"/>
          </w:tcPr>
          <w:p w14:paraId="0D4FDC1F" w14:textId="6294FB27" w:rsidR="005D797C" w:rsidRPr="00121F39" w:rsidRDefault="005D797C" w:rsidP="00DB03C9">
            <w:pPr>
              <w:rPr>
                <w:sz w:val="22"/>
              </w:rPr>
            </w:pPr>
            <w:r w:rsidRPr="00121F39">
              <w:rPr>
                <w:sz w:val="22"/>
              </w:rPr>
              <w:t>20</w:t>
            </w:r>
            <w:r>
              <w:rPr>
                <w:sz w:val="22"/>
              </w:rPr>
              <w:t>21</w:t>
            </w:r>
            <w:r w:rsidRPr="00121F39">
              <w:rPr>
                <w:sz w:val="22"/>
              </w:rPr>
              <w:t xml:space="preserve"> Program Year</w:t>
            </w:r>
          </w:p>
        </w:tc>
        <w:tc>
          <w:tcPr>
            <w:tcW w:w="3330" w:type="dxa"/>
            <w:gridSpan w:val="3"/>
          </w:tcPr>
          <w:p w14:paraId="4BBC3E25" w14:textId="40CB9C8E" w:rsidR="005D797C" w:rsidRPr="00121F39" w:rsidRDefault="005D797C" w:rsidP="00DB03C9">
            <w:pPr>
              <w:jc w:val="center"/>
              <w:cnfStyle w:val="000000000000" w:firstRow="0" w:lastRow="0" w:firstColumn="0" w:lastColumn="0" w:oddVBand="0" w:evenVBand="0" w:oddHBand="0" w:evenHBand="0" w:firstRowFirstColumn="0" w:firstRowLastColumn="0" w:lastRowFirstColumn="0" w:lastRowLastColumn="0"/>
              <w:rPr>
                <w:sz w:val="22"/>
              </w:rPr>
            </w:pPr>
            <w:r w:rsidRPr="00121F39">
              <w:rPr>
                <w:sz w:val="22"/>
              </w:rPr>
              <w:t>202</w:t>
            </w:r>
            <w:r>
              <w:rPr>
                <w:sz w:val="22"/>
              </w:rPr>
              <w:t>2</w:t>
            </w:r>
            <w:r w:rsidRPr="00121F39">
              <w:rPr>
                <w:sz w:val="22"/>
              </w:rPr>
              <w:t xml:space="preserve"> Program Year</w:t>
            </w:r>
          </w:p>
        </w:tc>
        <w:tc>
          <w:tcPr>
            <w:tcW w:w="0" w:type="dxa"/>
            <w:gridSpan w:val="3"/>
          </w:tcPr>
          <w:p w14:paraId="0FA8E3B7" w14:textId="76783AEA" w:rsidR="005D797C" w:rsidRPr="00121F39" w:rsidRDefault="005D797C" w:rsidP="00DB03C9">
            <w:pPr>
              <w:jc w:val="center"/>
              <w:cnfStyle w:val="000000000000" w:firstRow="0" w:lastRow="0" w:firstColumn="0" w:lastColumn="0" w:oddVBand="0" w:evenVBand="0" w:oddHBand="0" w:evenHBand="0" w:firstRowFirstColumn="0" w:firstRowLastColumn="0" w:lastRowFirstColumn="0" w:lastRowLastColumn="0"/>
              <w:rPr>
                <w:sz w:val="22"/>
              </w:rPr>
            </w:pPr>
            <w:r w:rsidRPr="00121F39">
              <w:rPr>
                <w:sz w:val="22"/>
              </w:rPr>
              <w:t>202</w:t>
            </w:r>
            <w:r>
              <w:rPr>
                <w:sz w:val="22"/>
              </w:rPr>
              <w:t>3</w:t>
            </w:r>
            <w:r w:rsidRPr="00121F39">
              <w:rPr>
                <w:sz w:val="22"/>
              </w:rPr>
              <w:t xml:space="preserve"> Program Year</w:t>
            </w:r>
          </w:p>
        </w:tc>
      </w:tr>
      <w:tr w:rsidR="006115D4" w:rsidRPr="002B6C7E" w14:paraId="13AF2AB0" w14:textId="77777777" w:rsidTr="00B825EA">
        <w:trPr>
          <w:trHeight w:val="152"/>
        </w:trPr>
        <w:tc>
          <w:tcPr>
            <w:cnfStyle w:val="001000000000" w:firstRow="0" w:lastRow="0" w:firstColumn="1" w:lastColumn="0" w:oddVBand="0" w:evenVBand="0" w:oddHBand="0" w:evenHBand="0" w:firstRowFirstColumn="0" w:firstRowLastColumn="0" w:lastRowFirstColumn="0" w:lastRowLastColumn="0"/>
            <w:tcW w:w="1345" w:type="dxa"/>
            <w:shd w:val="clear" w:color="auto" w:fill="007299" w:themeFill="accent2"/>
            <w:hideMark/>
          </w:tcPr>
          <w:p w14:paraId="1B866F88" w14:textId="60A690FE" w:rsidR="005D797C" w:rsidRPr="00121F39" w:rsidRDefault="005D797C" w:rsidP="00DB03C9">
            <w:pPr>
              <w:rPr>
                <w:b/>
                <w:color w:val="FFFFFF" w:themeColor="background1"/>
              </w:rPr>
            </w:pPr>
            <w:r>
              <w:rPr>
                <w:b/>
                <w:color w:val="FFFFFF" w:themeColor="background1"/>
              </w:rPr>
              <w:t xml:space="preserve">Gross </w:t>
            </w:r>
            <w:r w:rsidRPr="00121F39">
              <w:rPr>
                <w:b/>
                <w:color w:val="FFFFFF" w:themeColor="background1"/>
              </w:rPr>
              <w:t>kWh</w:t>
            </w:r>
          </w:p>
        </w:tc>
        <w:tc>
          <w:tcPr>
            <w:tcW w:w="990" w:type="dxa"/>
            <w:shd w:val="clear" w:color="auto" w:fill="007299" w:themeFill="accent2"/>
          </w:tcPr>
          <w:p w14:paraId="3E433618" w14:textId="0B829D75" w:rsidR="005D797C" w:rsidRDefault="005D797C" w:rsidP="00DB03C9">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Gross kW</w:t>
            </w:r>
          </w:p>
        </w:tc>
        <w:tc>
          <w:tcPr>
            <w:tcW w:w="1080" w:type="dxa"/>
            <w:shd w:val="clear" w:color="auto" w:fill="007299" w:themeFill="accent2"/>
            <w:hideMark/>
          </w:tcPr>
          <w:p w14:paraId="0F716437" w14:textId="33A4399E" w:rsidR="005D797C" w:rsidRPr="00121F39" w:rsidRDefault="005D797C" w:rsidP="00DB03C9">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Gross</w:t>
            </w:r>
            <w:r w:rsidRPr="00121F39">
              <w:rPr>
                <w:b/>
                <w:color w:val="FFFFFF" w:themeColor="background1"/>
              </w:rPr>
              <w:t xml:space="preserve"> therms</w:t>
            </w:r>
          </w:p>
        </w:tc>
        <w:tc>
          <w:tcPr>
            <w:tcW w:w="1170" w:type="dxa"/>
            <w:shd w:val="clear" w:color="auto" w:fill="007299" w:themeFill="accent2"/>
            <w:hideMark/>
          </w:tcPr>
          <w:p w14:paraId="0C1E411D" w14:textId="33CB9F5E" w:rsidR="005D797C" w:rsidRPr="00121F39" w:rsidRDefault="005D797C" w:rsidP="00DB03C9">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Gross</w:t>
            </w:r>
            <w:r w:rsidRPr="00121F39">
              <w:rPr>
                <w:b/>
                <w:color w:val="FFFFFF" w:themeColor="background1"/>
              </w:rPr>
              <w:t xml:space="preserve"> kWh</w:t>
            </w:r>
          </w:p>
        </w:tc>
        <w:tc>
          <w:tcPr>
            <w:tcW w:w="990" w:type="dxa"/>
            <w:shd w:val="clear" w:color="auto" w:fill="007299" w:themeFill="accent2"/>
          </w:tcPr>
          <w:p w14:paraId="30E58275" w14:textId="098AF4E6" w:rsidR="005D797C" w:rsidRDefault="005D797C" w:rsidP="00DB03C9">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Gross kW</w:t>
            </w:r>
          </w:p>
        </w:tc>
        <w:tc>
          <w:tcPr>
            <w:tcW w:w="0" w:type="dxa"/>
            <w:shd w:val="clear" w:color="auto" w:fill="007299" w:themeFill="accent2"/>
            <w:hideMark/>
          </w:tcPr>
          <w:p w14:paraId="7FB4B2AC" w14:textId="4560E2B1" w:rsidR="005D797C" w:rsidRPr="00121F39" w:rsidRDefault="005D797C" w:rsidP="00DB03C9">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Gross</w:t>
            </w:r>
            <w:r w:rsidRPr="00121F39">
              <w:rPr>
                <w:b/>
                <w:color w:val="FFFFFF" w:themeColor="background1"/>
              </w:rPr>
              <w:t xml:space="preserve"> therms</w:t>
            </w:r>
          </w:p>
        </w:tc>
        <w:tc>
          <w:tcPr>
            <w:tcW w:w="1170" w:type="dxa"/>
            <w:shd w:val="clear" w:color="auto" w:fill="007299" w:themeFill="accent2"/>
            <w:hideMark/>
          </w:tcPr>
          <w:p w14:paraId="52377914" w14:textId="4BC40990" w:rsidR="005D797C" w:rsidRPr="00121F39" w:rsidRDefault="005D797C" w:rsidP="00DB03C9">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Gross</w:t>
            </w:r>
            <w:r w:rsidRPr="00121F39">
              <w:rPr>
                <w:b/>
                <w:color w:val="FFFFFF" w:themeColor="background1"/>
              </w:rPr>
              <w:t xml:space="preserve"> kWh</w:t>
            </w:r>
          </w:p>
        </w:tc>
        <w:tc>
          <w:tcPr>
            <w:tcW w:w="1080" w:type="dxa"/>
            <w:shd w:val="clear" w:color="auto" w:fill="007299" w:themeFill="accent2"/>
          </w:tcPr>
          <w:p w14:paraId="3C0143FF" w14:textId="01D94AA0" w:rsidR="005D797C" w:rsidRDefault="005D797C" w:rsidP="00DB03C9">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Gross kW</w:t>
            </w:r>
          </w:p>
        </w:tc>
        <w:tc>
          <w:tcPr>
            <w:tcW w:w="0" w:type="dxa"/>
            <w:shd w:val="clear" w:color="auto" w:fill="007299" w:themeFill="accent2"/>
            <w:hideMark/>
          </w:tcPr>
          <w:p w14:paraId="352CD333" w14:textId="4A8DC667" w:rsidR="005D797C" w:rsidRPr="00121F39" w:rsidRDefault="005D797C" w:rsidP="00DB03C9">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Gross</w:t>
            </w:r>
            <w:r w:rsidRPr="00121F39">
              <w:rPr>
                <w:b/>
                <w:color w:val="FFFFFF" w:themeColor="background1"/>
              </w:rPr>
              <w:t xml:space="preserve"> therms</w:t>
            </w:r>
          </w:p>
        </w:tc>
      </w:tr>
      <w:tr w:rsidR="006115D4" w:rsidRPr="002B6C7E" w14:paraId="382A5030" w14:textId="77777777" w:rsidTr="00714EED">
        <w:trPr>
          <w:trHeight w:val="332"/>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598A7EA" w14:textId="728B94E0" w:rsidR="005D797C" w:rsidRPr="002B6C7E" w:rsidRDefault="005D797C" w:rsidP="24A00BF3">
            <w:pPr>
              <w:rPr>
                <w:b/>
                <w:bCs/>
              </w:rPr>
            </w:pPr>
            <w:r w:rsidRPr="24A00BF3">
              <w:rPr>
                <w:b/>
                <w:bCs/>
              </w:rPr>
              <w:t>14,202,110</w:t>
            </w:r>
          </w:p>
        </w:tc>
        <w:tc>
          <w:tcPr>
            <w:tcW w:w="0" w:type="dxa"/>
          </w:tcPr>
          <w:p w14:paraId="41100B3E" w14:textId="514D8FE8" w:rsidR="005D797C" w:rsidRPr="24A00BF3" w:rsidRDefault="005D797C" w:rsidP="24A00BF3">
            <w:pPr>
              <w:jc w:val="center"/>
              <w:cnfStyle w:val="000000000000" w:firstRow="0" w:lastRow="0" w:firstColumn="0" w:lastColumn="0" w:oddVBand="0" w:evenVBand="0" w:oddHBand="0" w:evenHBand="0" w:firstRowFirstColumn="0" w:firstRowLastColumn="0" w:lastRowFirstColumn="0" w:lastRowLastColumn="0"/>
              <w:rPr>
                <w:b/>
                <w:bCs/>
              </w:rPr>
            </w:pPr>
            <w:r>
              <w:rPr>
                <w:b/>
                <w:bCs/>
              </w:rPr>
              <w:t>1,584</w:t>
            </w:r>
          </w:p>
        </w:tc>
        <w:tc>
          <w:tcPr>
            <w:tcW w:w="0" w:type="dxa"/>
          </w:tcPr>
          <w:p w14:paraId="2C6EA4D6" w14:textId="0862602B" w:rsidR="005D797C" w:rsidRPr="002B6C7E" w:rsidRDefault="005D797C" w:rsidP="24A00BF3">
            <w:pPr>
              <w:jc w:val="center"/>
              <w:cnfStyle w:val="000000000000" w:firstRow="0" w:lastRow="0" w:firstColumn="0" w:lastColumn="0" w:oddVBand="0" w:evenVBand="0" w:oddHBand="0" w:evenHBand="0" w:firstRowFirstColumn="0" w:firstRowLastColumn="0" w:lastRowFirstColumn="0" w:lastRowLastColumn="0"/>
              <w:rPr>
                <w:b/>
                <w:bCs/>
              </w:rPr>
            </w:pPr>
            <w:r w:rsidRPr="24A00BF3">
              <w:rPr>
                <w:b/>
                <w:bCs/>
              </w:rPr>
              <w:t>1,491,574</w:t>
            </w:r>
          </w:p>
        </w:tc>
        <w:tc>
          <w:tcPr>
            <w:tcW w:w="0" w:type="dxa"/>
          </w:tcPr>
          <w:p w14:paraId="2BB65DA4" w14:textId="0D865A18" w:rsidR="005D797C" w:rsidRPr="002B6C7E" w:rsidRDefault="005D797C" w:rsidP="24A00BF3">
            <w:pPr>
              <w:jc w:val="center"/>
              <w:cnfStyle w:val="000000000000" w:firstRow="0" w:lastRow="0" w:firstColumn="0" w:lastColumn="0" w:oddVBand="0" w:evenVBand="0" w:oddHBand="0" w:evenHBand="0" w:firstRowFirstColumn="0" w:firstRowLastColumn="0" w:lastRowFirstColumn="0" w:lastRowLastColumn="0"/>
              <w:rPr>
                <w:b/>
                <w:bCs/>
              </w:rPr>
            </w:pPr>
            <w:r w:rsidRPr="24A00BF3">
              <w:rPr>
                <w:b/>
                <w:bCs/>
              </w:rPr>
              <w:t>22,380,59</w:t>
            </w:r>
            <w:r>
              <w:rPr>
                <w:b/>
                <w:bCs/>
              </w:rPr>
              <w:t>2</w:t>
            </w:r>
          </w:p>
        </w:tc>
        <w:tc>
          <w:tcPr>
            <w:tcW w:w="0" w:type="dxa"/>
          </w:tcPr>
          <w:p w14:paraId="760EE40B" w14:textId="34C13141" w:rsidR="005D797C" w:rsidRPr="24A00BF3" w:rsidRDefault="005D797C" w:rsidP="24A00BF3">
            <w:pPr>
              <w:jc w:val="center"/>
              <w:cnfStyle w:val="000000000000" w:firstRow="0" w:lastRow="0" w:firstColumn="0" w:lastColumn="0" w:oddVBand="0" w:evenVBand="0" w:oddHBand="0" w:evenHBand="0" w:firstRowFirstColumn="0" w:firstRowLastColumn="0" w:lastRowFirstColumn="0" w:lastRowLastColumn="0"/>
              <w:rPr>
                <w:b/>
                <w:bCs/>
              </w:rPr>
            </w:pPr>
            <w:r>
              <w:rPr>
                <w:b/>
                <w:bCs/>
              </w:rPr>
              <w:t>2,698</w:t>
            </w:r>
          </w:p>
        </w:tc>
        <w:tc>
          <w:tcPr>
            <w:tcW w:w="0" w:type="dxa"/>
          </w:tcPr>
          <w:p w14:paraId="0E332364" w14:textId="5BD784CF" w:rsidR="005D797C" w:rsidRPr="002B6C7E" w:rsidRDefault="005D797C" w:rsidP="24A00BF3">
            <w:pPr>
              <w:jc w:val="center"/>
              <w:cnfStyle w:val="000000000000" w:firstRow="0" w:lastRow="0" w:firstColumn="0" w:lastColumn="0" w:oddVBand="0" w:evenVBand="0" w:oddHBand="0" w:evenHBand="0" w:firstRowFirstColumn="0" w:firstRowLastColumn="0" w:lastRowFirstColumn="0" w:lastRowLastColumn="0"/>
              <w:rPr>
                <w:b/>
                <w:bCs/>
              </w:rPr>
            </w:pPr>
            <w:r w:rsidRPr="24A00BF3">
              <w:rPr>
                <w:b/>
                <w:bCs/>
              </w:rPr>
              <w:t>2,368,5</w:t>
            </w:r>
            <w:r>
              <w:rPr>
                <w:b/>
                <w:bCs/>
              </w:rPr>
              <w:t>10</w:t>
            </w:r>
          </w:p>
        </w:tc>
        <w:tc>
          <w:tcPr>
            <w:tcW w:w="0" w:type="dxa"/>
          </w:tcPr>
          <w:p w14:paraId="5AE15964" w14:textId="3E066AC5" w:rsidR="005D797C" w:rsidRPr="002B6C7E" w:rsidRDefault="005D797C" w:rsidP="24A00BF3">
            <w:pPr>
              <w:jc w:val="center"/>
              <w:cnfStyle w:val="000000000000" w:firstRow="0" w:lastRow="0" w:firstColumn="0" w:lastColumn="0" w:oddVBand="0" w:evenVBand="0" w:oddHBand="0" w:evenHBand="0" w:firstRowFirstColumn="0" w:firstRowLastColumn="0" w:lastRowFirstColumn="0" w:lastRowLastColumn="0"/>
              <w:rPr>
                <w:b/>
                <w:bCs/>
              </w:rPr>
            </w:pPr>
            <w:r w:rsidRPr="24A00BF3">
              <w:rPr>
                <w:b/>
                <w:bCs/>
              </w:rPr>
              <w:t>27,057,47</w:t>
            </w:r>
            <w:r>
              <w:rPr>
                <w:b/>
                <w:bCs/>
              </w:rPr>
              <w:t>7</w:t>
            </w:r>
          </w:p>
        </w:tc>
        <w:tc>
          <w:tcPr>
            <w:tcW w:w="0" w:type="dxa"/>
          </w:tcPr>
          <w:p w14:paraId="3A9CFE50" w14:textId="4BC8B28D" w:rsidR="005D797C" w:rsidRPr="24A00BF3" w:rsidRDefault="005D797C" w:rsidP="24A00BF3">
            <w:pPr>
              <w:jc w:val="center"/>
              <w:cnfStyle w:val="000000000000" w:firstRow="0" w:lastRow="0" w:firstColumn="0" w:lastColumn="0" w:oddVBand="0" w:evenVBand="0" w:oddHBand="0" w:evenHBand="0" w:firstRowFirstColumn="0" w:firstRowLastColumn="0" w:lastRowFirstColumn="0" w:lastRowLastColumn="0"/>
              <w:rPr>
                <w:b/>
                <w:bCs/>
              </w:rPr>
            </w:pPr>
            <w:r>
              <w:rPr>
                <w:b/>
                <w:bCs/>
              </w:rPr>
              <w:t>3,586</w:t>
            </w:r>
          </w:p>
        </w:tc>
        <w:tc>
          <w:tcPr>
            <w:tcW w:w="0" w:type="dxa"/>
          </w:tcPr>
          <w:p w14:paraId="122F35A9" w14:textId="4972225C" w:rsidR="005D797C" w:rsidRPr="002B6C7E" w:rsidRDefault="005D797C" w:rsidP="24A00BF3">
            <w:pPr>
              <w:jc w:val="center"/>
              <w:cnfStyle w:val="000000000000" w:firstRow="0" w:lastRow="0" w:firstColumn="0" w:lastColumn="0" w:oddVBand="0" w:evenVBand="0" w:oddHBand="0" w:evenHBand="0" w:firstRowFirstColumn="0" w:firstRowLastColumn="0" w:lastRowFirstColumn="0" w:lastRowLastColumn="0"/>
              <w:rPr>
                <w:b/>
                <w:bCs/>
              </w:rPr>
            </w:pPr>
            <w:r w:rsidRPr="24A00BF3">
              <w:rPr>
                <w:b/>
                <w:bCs/>
              </w:rPr>
              <w:t>2,891,552</w:t>
            </w:r>
          </w:p>
        </w:tc>
      </w:tr>
    </w:tbl>
    <w:p w14:paraId="17F3CA25" w14:textId="7D8CFB79" w:rsidR="00DB03C9" w:rsidRPr="007C2955" w:rsidRDefault="00DB03C9" w:rsidP="00DB03C9">
      <w:pPr>
        <w:pStyle w:val="Heading2"/>
        <w:rPr>
          <w:sz w:val="24"/>
        </w:rPr>
      </w:pPr>
      <w:bookmarkStart w:id="12" w:name="_Toc8227868"/>
      <w:bookmarkStart w:id="13" w:name="_Toc57653949"/>
      <w:r>
        <w:rPr>
          <w:sz w:val="24"/>
        </w:rPr>
        <w:t xml:space="preserve">5. </w:t>
      </w:r>
      <w:r w:rsidR="00910811">
        <w:rPr>
          <w:sz w:val="24"/>
        </w:rPr>
        <w:t xml:space="preserve">program / </w:t>
      </w:r>
      <w:r w:rsidRPr="007C2955">
        <w:rPr>
          <w:sz w:val="24"/>
        </w:rPr>
        <w:t>Sub-Program Cost Effectiveness (TRC)</w:t>
      </w:r>
      <w:bookmarkEnd w:id="12"/>
      <w:bookmarkEnd w:id="13"/>
    </w:p>
    <w:tbl>
      <w:tblPr>
        <w:tblStyle w:val="CLEAResultTable"/>
        <w:tblW w:w="0" w:type="auto"/>
        <w:tblLook w:val="04A0" w:firstRow="1" w:lastRow="0" w:firstColumn="1" w:lastColumn="0" w:noHBand="0" w:noVBand="1"/>
      </w:tblPr>
      <w:tblGrid>
        <w:gridCol w:w="5410"/>
        <w:gridCol w:w="4642"/>
      </w:tblGrid>
      <w:tr w:rsidR="00DB03C9" w14:paraId="291BAF09" w14:textId="77777777" w:rsidTr="00DB03C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410" w:type="dxa"/>
          </w:tcPr>
          <w:p w14:paraId="7E9E99B8" w14:textId="77777777" w:rsidR="00DB03C9" w:rsidRDefault="00DB03C9" w:rsidP="00DB03C9">
            <w:r w:rsidRPr="00E340B9">
              <w:rPr>
                <w:sz w:val="23"/>
                <w:szCs w:val="23"/>
              </w:rPr>
              <w:t>Program ID Number</w:t>
            </w:r>
          </w:p>
        </w:tc>
        <w:tc>
          <w:tcPr>
            <w:tcW w:w="4642" w:type="dxa"/>
          </w:tcPr>
          <w:p w14:paraId="257C3576" w14:textId="3C77B9B0" w:rsidR="00DB03C9" w:rsidRDefault="00DB03C9" w:rsidP="00DB03C9">
            <w:pPr>
              <w:cnfStyle w:val="100000000000" w:firstRow="1" w:lastRow="0" w:firstColumn="0" w:lastColumn="0" w:oddVBand="0" w:evenVBand="0" w:oddHBand="0" w:evenHBand="0" w:firstRowFirstColumn="0" w:firstRowLastColumn="0" w:lastRowFirstColumn="0" w:lastRowLastColumn="0"/>
            </w:pPr>
            <w:r>
              <w:t>TRC</w:t>
            </w:r>
            <w:r w:rsidR="00A24813">
              <w:t xml:space="preserve"> </w:t>
            </w:r>
            <w:r w:rsidR="00F613B0">
              <w:t>(no admin)</w:t>
            </w:r>
          </w:p>
        </w:tc>
      </w:tr>
      <w:tr w:rsidR="00DB03C9" w14:paraId="7F5D0BF2" w14:textId="77777777" w:rsidTr="00DB03C9">
        <w:trPr>
          <w:trHeight w:val="371"/>
        </w:trPr>
        <w:tc>
          <w:tcPr>
            <w:cnfStyle w:val="001000000000" w:firstRow="0" w:lastRow="0" w:firstColumn="1" w:lastColumn="0" w:oddVBand="0" w:evenVBand="0" w:oddHBand="0" w:evenHBand="0" w:firstRowFirstColumn="0" w:firstRowLastColumn="0" w:lastRowFirstColumn="0" w:lastRowLastColumn="0"/>
            <w:tcW w:w="5410" w:type="dxa"/>
            <w:shd w:val="clear" w:color="auto" w:fill="D9D9D9" w:themeFill="background1" w:themeFillShade="D9"/>
          </w:tcPr>
          <w:p w14:paraId="2616A478" w14:textId="35EFA774" w:rsidR="00DB03C9" w:rsidRDefault="0018518A" w:rsidP="00DB03C9">
            <w:r>
              <w:t>PGE_Ind</w:t>
            </w:r>
            <w:r w:rsidR="00925B0B">
              <w:t>_</w:t>
            </w:r>
            <w:r w:rsidR="009B6362">
              <w:t>002</w:t>
            </w:r>
            <w:r w:rsidR="009A76A9">
              <w:t xml:space="preserve"> </w:t>
            </w:r>
          </w:p>
        </w:tc>
        <w:tc>
          <w:tcPr>
            <w:tcW w:w="4642" w:type="dxa"/>
          </w:tcPr>
          <w:p w14:paraId="4DB04BE9" w14:textId="3A2EDD95" w:rsidR="00DB03C9" w:rsidRDefault="00B4173C" w:rsidP="00DB03C9">
            <w:pPr>
              <w:cnfStyle w:val="000000000000" w:firstRow="0" w:lastRow="0" w:firstColumn="0" w:lastColumn="0" w:oddVBand="0" w:evenVBand="0" w:oddHBand="0" w:evenHBand="0" w:firstRowFirstColumn="0" w:firstRowLastColumn="0" w:lastRowFirstColumn="0" w:lastRowLastColumn="0"/>
            </w:pPr>
            <w:r>
              <w:t>2.02</w:t>
            </w:r>
          </w:p>
        </w:tc>
      </w:tr>
    </w:tbl>
    <w:p w14:paraId="30708585" w14:textId="77777777" w:rsidR="00DB03C9" w:rsidRDefault="00DB03C9" w:rsidP="00DB03C9">
      <w:pPr>
        <w:ind w:firstLine="720"/>
      </w:pPr>
    </w:p>
    <w:p w14:paraId="67BF176E" w14:textId="7474921E" w:rsidR="00DB03C9" w:rsidRPr="007C2955" w:rsidRDefault="00DB03C9" w:rsidP="00DB03C9">
      <w:pPr>
        <w:pStyle w:val="Heading2"/>
        <w:rPr>
          <w:sz w:val="24"/>
        </w:rPr>
      </w:pPr>
      <w:bookmarkStart w:id="14" w:name="_Toc8227869"/>
      <w:bookmarkStart w:id="15" w:name="_Toc57653950"/>
      <w:r>
        <w:rPr>
          <w:sz w:val="24"/>
        </w:rPr>
        <w:lastRenderedPageBreak/>
        <w:t xml:space="preserve">6. </w:t>
      </w:r>
      <w:r w:rsidR="00910811">
        <w:rPr>
          <w:sz w:val="24"/>
        </w:rPr>
        <w:t xml:space="preserve">program / </w:t>
      </w:r>
      <w:r w:rsidRPr="007C2955">
        <w:rPr>
          <w:sz w:val="24"/>
        </w:rPr>
        <w:t>Sub-Program Cost Effectiveness (PAC)</w:t>
      </w:r>
      <w:bookmarkEnd w:id="14"/>
      <w:bookmarkEnd w:id="15"/>
    </w:p>
    <w:tbl>
      <w:tblPr>
        <w:tblStyle w:val="CLEAResultTable"/>
        <w:tblW w:w="0" w:type="auto"/>
        <w:tblLook w:val="04A0" w:firstRow="1" w:lastRow="0" w:firstColumn="1" w:lastColumn="0" w:noHBand="0" w:noVBand="1"/>
      </w:tblPr>
      <w:tblGrid>
        <w:gridCol w:w="5418"/>
        <w:gridCol w:w="4648"/>
      </w:tblGrid>
      <w:tr w:rsidR="00DB03C9" w14:paraId="78ACC4B7" w14:textId="77777777" w:rsidTr="00DB03C9">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418" w:type="dxa"/>
          </w:tcPr>
          <w:p w14:paraId="28F2C82E" w14:textId="77777777" w:rsidR="00DB03C9" w:rsidRDefault="00DB03C9" w:rsidP="00DB03C9">
            <w:r w:rsidRPr="00E340B9">
              <w:rPr>
                <w:sz w:val="23"/>
                <w:szCs w:val="23"/>
              </w:rPr>
              <w:t>Program ID Number</w:t>
            </w:r>
          </w:p>
        </w:tc>
        <w:tc>
          <w:tcPr>
            <w:tcW w:w="4648" w:type="dxa"/>
          </w:tcPr>
          <w:p w14:paraId="04F651CC" w14:textId="7218AC9E" w:rsidR="00DB03C9" w:rsidRDefault="00DB03C9" w:rsidP="00DB03C9">
            <w:pPr>
              <w:cnfStyle w:val="100000000000" w:firstRow="1" w:lastRow="0" w:firstColumn="0" w:lastColumn="0" w:oddVBand="0" w:evenVBand="0" w:oddHBand="0" w:evenHBand="0" w:firstRowFirstColumn="0" w:firstRowLastColumn="0" w:lastRowFirstColumn="0" w:lastRowLastColumn="0"/>
            </w:pPr>
            <w:r>
              <w:t>PAC</w:t>
            </w:r>
            <w:r w:rsidR="00A24813">
              <w:t xml:space="preserve"> </w:t>
            </w:r>
            <w:r w:rsidR="00F613B0">
              <w:t>(no admin)</w:t>
            </w:r>
          </w:p>
        </w:tc>
      </w:tr>
      <w:tr w:rsidR="00DB03C9" w14:paraId="74D7B999" w14:textId="77777777" w:rsidTr="00DB03C9">
        <w:trPr>
          <w:trHeight w:val="269"/>
        </w:trPr>
        <w:tc>
          <w:tcPr>
            <w:cnfStyle w:val="001000000000" w:firstRow="0" w:lastRow="0" w:firstColumn="1" w:lastColumn="0" w:oddVBand="0" w:evenVBand="0" w:oddHBand="0" w:evenHBand="0" w:firstRowFirstColumn="0" w:firstRowLastColumn="0" w:lastRowFirstColumn="0" w:lastRowLastColumn="0"/>
            <w:tcW w:w="5418" w:type="dxa"/>
            <w:shd w:val="clear" w:color="auto" w:fill="D9D9D9" w:themeFill="background1" w:themeFillShade="D9"/>
          </w:tcPr>
          <w:p w14:paraId="170396DF" w14:textId="112A5B00" w:rsidR="00DB03C9" w:rsidRDefault="003B27D5" w:rsidP="00DB03C9">
            <w:r>
              <w:t>PGE_Ind_002</w:t>
            </w:r>
          </w:p>
        </w:tc>
        <w:tc>
          <w:tcPr>
            <w:tcW w:w="4648" w:type="dxa"/>
          </w:tcPr>
          <w:p w14:paraId="7FBF9C2F" w14:textId="32F75EC4" w:rsidR="00DB03C9" w:rsidRPr="00002903" w:rsidRDefault="00F613B0" w:rsidP="00DB03C9">
            <w:pPr>
              <w:cnfStyle w:val="000000000000" w:firstRow="0" w:lastRow="0" w:firstColumn="0" w:lastColumn="0" w:oddVBand="0" w:evenVBand="0" w:oddHBand="0" w:evenHBand="0" w:firstRowFirstColumn="0" w:firstRowLastColumn="0" w:lastRowFirstColumn="0" w:lastRowLastColumn="0"/>
            </w:pPr>
            <w:r>
              <w:t>4.63</w:t>
            </w:r>
          </w:p>
        </w:tc>
      </w:tr>
    </w:tbl>
    <w:p w14:paraId="45E79F66" w14:textId="133C25D7" w:rsidR="00DB03C9" w:rsidRPr="007C2955" w:rsidRDefault="00DB03C9" w:rsidP="00DB03C9">
      <w:pPr>
        <w:pStyle w:val="Heading2"/>
        <w:rPr>
          <w:sz w:val="24"/>
        </w:rPr>
      </w:pPr>
      <w:bookmarkStart w:id="16" w:name="_Toc8227870"/>
      <w:bookmarkStart w:id="17" w:name="_Toc57653951"/>
      <w:r w:rsidRPr="007C2955">
        <w:rPr>
          <w:sz w:val="24"/>
        </w:rPr>
        <w:t xml:space="preserve">7. Type of </w:t>
      </w:r>
      <w:bookmarkEnd w:id="16"/>
      <w:r w:rsidR="00DD4F75">
        <w:rPr>
          <w:sz w:val="24"/>
        </w:rPr>
        <w:t>Program</w:t>
      </w:r>
      <w:r w:rsidR="00910811">
        <w:rPr>
          <w:sz w:val="24"/>
        </w:rPr>
        <w:t xml:space="preserve"> / sub</w:t>
      </w:r>
      <w:r w:rsidR="00315F38">
        <w:rPr>
          <w:sz w:val="24"/>
        </w:rPr>
        <w:t>-</w:t>
      </w:r>
      <w:r w:rsidR="00910811">
        <w:rPr>
          <w:sz w:val="24"/>
        </w:rPr>
        <w:t>program implementer</w:t>
      </w:r>
      <w:bookmarkEnd w:id="17"/>
    </w:p>
    <w:p w14:paraId="61DADEC6" w14:textId="4A8048D2" w:rsidR="00DB03C9" w:rsidRPr="00D87623" w:rsidRDefault="00C76F94" w:rsidP="00DB03C9">
      <w:r>
        <w:t>Local</w:t>
      </w:r>
      <w:r w:rsidR="00D31F8E">
        <w:t xml:space="preserve"> -</w:t>
      </w:r>
      <w:r w:rsidR="00F67A3B">
        <w:t xml:space="preserve"> </w:t>
      </w:r>
      <w:r w:rsidR="00AF6D34">
        <w:t>T</w:t>
      </w:r>
      <w:r w:rsidR="00DD4F75">
        <w:t xml:space="preserve">hird party </w:t>
      </w:r>
      <w:r w:rsidR="00E80184">
        <w:t>delivered</w:t>
      </w:r>
    </w:p>
    <w:p w14:paraId="24A14027" w14:textId="3CD014AE" w:rsidR="00DB03C9" w:rsidRDefault="00DB03C9" w:rsidP="00DB03C9">
      <w:pPr>
        <w:pStyle w:val="Heading2"/>
        <w:rPr>
          <w:sz w:val="24"/>
        </w:rPr>
      </w:pPr>
      <w:bookmarkStart w:id="18" w:name="_Toc57653952"/>
      <w:bookmarkStart w:id="19" w:name="_Toc8227871"/>
      <w:r w:rsidRPr="007C2955">
        <w:rPr>
          <w:sz w:val="24"/>
        </w:rPr>
        <w:t>8. Market Sector</w:t>
      </w:r>
      <w:r w:rsidR="00315F38">
        <w:rPr>
          <w:sz w:val="24"/>
        </w:rPr>
        <w:t>(S)</w:t>
      </w:r>
      <w:bookmarkEnd w:id="18"/>
      <w:r w:rsidRPr="007C2955">
        <w:rPr>
          <w:sz w:val="24"/>
        </w:rPr>
        <w:t xml:space="preserve"> </w:t>
      </w:r>
      <w:bookmarkEnd w:id="19"/>
    </w:p>
    <w:p w14:paraId="5926D30F" w14:textId="003E40FE" w:rsidR="00DB03C9" w:rsidRPr="00690817" w:rsidRDefault="00DB03C9" w:rsidP="00DB03C9">
      <w:r>
        <w:t>Industrial</w:t>
      </w:r>
    </w:p>
    <w:p w14:paraId="417BDDCF" w14:textId="1121DC41" w:rsidR="00DB03C9" w:rsidRPr="007C2955" w:rsidRDefault="00DB03C9" w:rsidP="00DB03C9">
      <w:pPr>
        <w:pStyle w:val="Heading2"/>
        <w:rPr>
          <w:sz w:val="24"/>
        </w:rPr>
      </w:pPr>
      <w:bookmarkStart w:id="20" w:name="_Toc57653953"/>
      <w:bookmarkStart w:id="21" w:name="_Toc8227872"/>
      <w:r w:rsidRPr="007C2955">
        <w:rPr>
          <w:sz w:val="24"/>
        </w:rPr>
        <w:t xml:space="preserve">9. </w:t>
      </w:r>
      <w:r w:rsidR="00910811">
        <w:rPr>
          <w:sz w:val="24"/>
        </w:rPr>
        <w:t xml:space="preserve">program / </w:t>
      </w:r>
      <w:r w:rsidRPr="007C2955">
        <w:rPr>
          <w:sz w:val="24"/>
        </w:rPr>
        <w:t>Sub-program Type</w:t>
      </w:r>
      <w:bookmarkEnd w:id="20"/>
      <w:r w:rsidRPr="007C2955">
        <w:rPr>
          <w:sz w:val="24"/>
        </w:rPr>
        <w:t xml:space="preserve"> </w:t>
      </w:r>
      <w:bookmarkEnd w:id="21"/>
    </w:p>
    <w:p w14:paraId="47F9359A" w14:textId="3AE994D7" w:rsidR="00DB03C9" w:rsidRPr="00D87623" w:rsidRDefault="00385B53" w:rsidP="00DB03C9">
      <w:r>
        <w:t>Resource</w:t>
      </w:r>
    </w:p>
    <w:p w14:paraId="3E8A21E6" w14:textId="27ABD100" w:rsidR="00DB03C9" w:rsidRPr="007C2955" w:rsidRDefault="00DB03C9" w:rsidP="00DB03C9">
      <w:pPr>
        <w:pStyle w:val="Heading2"/>
        <w:rPr>
          <w:sz w:val="24"/>
        </w:rPr>
      </w:pPr>
      <w:bookmarkStart w:id="22" w:name="_Toc8227873"/>
      <w:bookmarkStart w:id="23" w:name="_Toc57653954"/>
      <w:r w:rsidRPr="007C2955">
        <w:rPr>
          <w:sz w:val="24"/>
        </w:rPr>
        <w:t>1</w:t>
      </w:r>
      <w:r>
        <w:rPr>
          <w:sz w:val="24"/>
        </w:rPr>
        <w:t>0</w:t>
      </w:r>
      <w:r w:rsidRPr="007C2955">
        <w:rPr>
          <w:sz w:val="24"/>
        </w:rPr>
        <w:t xml:space="preserve">. </w:t>
      </w:r>
      <w:bookmarkEnd w:id="22"/>
      <w:r w:rsidR="00910811">
        <w:rPr>
          <w:sz w:val="24"/>
        </w:rPr>
        <w:t>Market channel</w:t>
      </w:r>
      <w:r w:rsidR="00315F38">
        <w:rPr>
          <w:sz w:val="24"/>
        </w:rPr>
        <w:t>(S)</w:t>
      </w:r>
      <w:r w:rsidR="00910811">
        <w:rPr>
          <w:sz w:val="24"/>
        </w:rPr>
        <w:t xml:space="preserve"> and intervention strategies</w:t>
      </w:r>
      <w:r w:rsidR="00315F38">
        <w:rPr>
          <w:sz w:val="24"/>
        </w:rPr>
        <w:t xml:space="preserve">, </w:t>
      </w:r>
      <w:r w:rsidR="00CF363A">
        <w:rPr>
          <w:sz w:val="24"/>
        </w:rPr>
        <w:t>Campaign Goals</w:t>
      </w:r>
      <w:r w:rsidR="00AD54BA">
        <w:rPr>
          <w:sz w:val="24"/>
        </w:rPr>
        <w:t>, and Timeline</w:t>
      </w:r>
      <w:bookmarkEnd w:id="23"/>
      <w:r w:rsidR="00AD54BA">
        <w:rPr>
          <w:sz w:val="24"/>
        </w:rPr>
        <w:t xml:space="preserve"> </w:t>
      </w:r>
    </w:p>
    <w:p w14:paraId="54433CEF" w14:textId="435CCDD1" w:rsidR="00DB03C9" w:rsidRPr="00D87623" w:rsidRDefault="00DB03C9" w:rsidP="00DB03C9">
      <w:r w:rsidRPr="00D87623">
        <w:t>Downstream</w:t>
      </w:r>
      <w:r w:rsidR="00A726DF">
        <w:t>;</w:t>
      </w:r>
      <w:r w:rsidR="00AB322A">
        <w:t xml:space="preserve"> </w:t>
      </w:r>
      <w:r w:rsidR="00E73A3C">
        <w:t>Incentive, Finance</w:t>
      </w:r>
      <w:r w:rsidR="009205E3">
        <w:t xml:space="preserve">, and Technical </w:t>
      </w:r>
      <w:r w:rsidR="00B0475A">
        <w:t>Assistance</w:t>
      </w:r>
      <w:r w:rsidR="00AD4F50">
        <w:t>.</w:t>
      </w:r>
      <w:r w:rsidR="00F2721F">
        <w:t xml:space="preserve"> Campai</w:t>
      </w:r>
      <w:r w:rsidR="00E94D25">
        <w:t>gn goals</w:t>
      </w:r>
      <w:r w:rsidR="005B3C96">
        <w:t xml:space="preserve">: </w:t>
      </w:r>
      <w:r w:rsidR="007C50F0">
        <w:t>63,640,179</w:t>
      </w:r>
      <w:r w:rsidR="00B11556">
        <w:t xml:space="preserve"> Gross</w:t>
      </w:r>
      <w:r w:rsidR="001656D7">
        <w:t xml:space="preserve"> kWh</w:t>
      </w:r>
      <w:r w:rsidR="00D43802">
        <w:t>,</w:t>
      </w:r>
      <w:r w:rsidR="00A504FA">
        <w:t xml:space="preserve"> </w:t>
      </w:r>
      <w:r w:rsidR="003F0C9E">
        <w:t>6,751,636</w:t>
      </w:r>
      <w:r w:rsidR="00F512DA">
        <w:t xml:space="preserve"> Gross therm</w:t>
      </w:r>
      <w:r w:rsidR="006E49AE">
        <w:t>s</w:t>
      </w:r>
      <w:r w:rsidR="003F73E0">
        <w:t xml:space="preserve"> over </w:t>
      </w:r>
      <w:r w:rsidR="003D5877">
        <w:t>3-year</w:t>
      </w:r>
      <w:r w:rsidR="003F73E0">
        <w:t xml:space="preserve"> program.</w:t>
      </w:r>
    </w:p>
    <w:p w14:paraId="3285887F" w14:textId="77777777" w:rsidR="00DB03C9" w:rsidRPr="008869EE" w:rsidRDefault="00DB03C9" w:rsidP="00DB03C9">
      <w:pPr>
        <w:pStyle w:val="Heading1"/>
      </w:pPr>
      <w:bookmarkStart w:id="24" w:name="_Toc8227874"/>
      <w:bookmarkStart w:id="25" w:name="_Toc57653955"/>
      <w:r w:rsidRPr="008869EE">
        <w:t>Implementation Plan Narrative</w:t>
      </w:r>
      <w:bookmarkEnd w:id="24"/>
      <w:bookmarkEnd w:id="25"/>
    </w:p>
    <w:p w14:paraId="47D24AA6" w14:textId="6F0FE5B1" w:rsidR="00DB03C9" w:rsidRPr="00D87623" w:rsidRDefault="00DB03C9" w:rsidP="00DB03C9">
      <w:pPr>
        <w:rPr>
          <w:b/>
        </w:rPr>
      </w:pPr>
      <w:bookmarkStart w:id="26" w:name="_Toc8227875"/>
      <w:bookmarkStart w:id="27" w:name="_Toc57653956"/>
      <w:r w:rsidRPr="00D56CCD">
        <w:rPr>
          <w:rStyle w:val="Heading2Char"/>
          <w:sz w:val="24"/>
          <w:szCs w:val="24"/>
        </w:rPr>
        <w:t>1. Program Description</w:t>
      </w:r>
      <w:bookmarkEnd w:id="26"/>
      <w:bookmarkEnd w:id="27"/>
      <w:r w:rsidRPr="00D56CCD">
        <w:rPr>
          <w:b/>
          <w:sz w:val="24"/>
          <w:szCs w:val="24"/>
        </w:rPr>
        <w:t>:</w:t>
      </w:r>
      <w:r w:rsidRPr="00D87623">
        <w:rPr>
          <w:b/>
        </w:rPr>
        <w:t xml:space="preserve"> </w:t>
      </w:r>
    </w:p>
    <w:p w14:paraId="12C484BB" w14:textId="1535B936" w:rsidR="00853D95" w:rsidRDefault="00853D95" w:rsidP="00853D95">
      <w:r>
        <w:t xml:space="preserve">The Program will provide energy efficiency services, technical assistance and incentives to the industrial sector within the PG&amp;E service territory. The Program will target the Petroleum, Chemical, and Minerals sub segments using a downstream market approach and </w:t>
      </w:r>
      <w:r w:rsidR="00A419A8">
        <w:t xml:space="preserve">predominantly </w:t>
      </w:r>
      <w:r>
        <w:t xml:space="preserve">leveraging the Deemed and Custom savings platforms to deliver cost-effective energy savings. The Program will also promote and leverage on-bill financing (“OBF”) </w:t>
      </w:r>
      <w:r w:rsidR="00E42A13">
        <w:t>and the California Hub for Energy Efficiency Financing (CHEEF)</w:t>
      </w:r>
      <w:r>
        <w:t xml:space="preserve"> as a tool to off-set the barrier of capital to fund projects. </w:t>
      </w:r>
    </w:p>
    <w:p w14:paraId="1824BD4C" w14:textId="77777777" w:rsidR="00853D95" w:rsidRDefault="00853D95" w:rsidP="00853D95">
      <w:r>
        <w:t>The primary objectives informing the program design are:</w:t>
      </w:r>
    </w:p>
    <w:p w14:paraId="547ECB66" w14:textId="77777777" w:rsidR="00853D95" w:rsidRDefault="00853D95" w:rsidP="00853D95">
      <w:pPr>
        <w:pStyle w:val="ListParagraph"/>
        <w:numPr>
          <w:ilvl w:val="0"/>
          <w:numId w:val="24"/>
        </w:numPr>
      </w:pPr>
      <w:r>
        <w:t>Increase the cost-effective savings achieved in the industrial sector</w:t>
      </w:r>
    </w:p>
    <w:p w14:paraId="1F4DEA23" w14:textId="77777777" w:rsidR="00853D95" w:rsidRDefault="00853D95" w:rsidP="00853D95">
      <w:pPr>
        <w:pStyle w:val="ListParagraph"/>
        <w:numPr>
          <w:ilvl w:val="0"/>
          <w:numId w:val="24"/>
        </w:numPr>
      </w:pPr>
      <w:r>
        <w:t>Support long-term energy efficiency planning and continued customer engagement to maximize savings delivery</w:t>
      </w:r>
    </w:p>
    <w:p w14:paraId="7DD35AD1" w14:textId="566C6A17" w:rsidR="008120DD" w:rsidRDefault="00D616A3" w:rsidP="00853D95">
      <w:pPr>
        <w:pStyle w:val="ListParagraph"/>
        <w:numPr>
          <w:ilvl w:val="0"/>
          <w:numId w:val="24"/>
        </w:numPr>
      </w:pPr>
      <w:r>
        <w:t xml:space="preserve">Clearly establish and document influence and standard practice to </w:t>
      </w:r>
      <w:r w:rsidR="008A22A1">
        <w:t xml:space="preserve">provide eligibility and planning </w:t>
      </w:r>
      <w:r>
        <w:t xml:space="preserve">clarity to </w:t>
      </w:r>
      <w:r w:rsidR="001B117A">
        <w:t>customers</w:t>
      </w:r>
    </w:p>
    <w:p w14:paraId="67852659" w14:textId="77777777" w:rsidR="00DB03C9" w:rsidRPr="00D87623" w:rsidRDefault="00DB03C9" w:rsidP="00DB03C9">
      <w:pPr>
        <w:pStyle w:val="ListParagraph"/>
        <w:ind w:left="1080"/>
      </w:pPr>
    </w:p>
    <w:p w14:paraId="7A1D16AB" w14:textId="43C3C9D7" w:rsidR="00DB03C9" w:rsidRPr="00D87623" w:rsidRDefault="00DB03C9" w:rsidP="00DB03C9">
      <w:pPr>
        <w:rPr>
          <w:b/>
        </w:rPr>
      </w:pPr>
      <w:bookmarkStart w:id="28" w:name="_Toc57653957"/>
      <w:bookmarkStart w:id="29" w:name="_Toc8227876"/>
      <w:r w:rsidRPr="1BB26EA1">
        <w:rPr>
          <w:rStyle w:val="Heading2Char"/>
          <w:sz w:val="24"/>
          <w:szCs w:val="24"/>
        </w:rPr>
        <w:t>2. Program Delivery and Customer Services</w:t>
      </w:r>
      <w:bookmarkEnd w:id="28"/>
      <w:r w:rsidRPr="00D56CCD">
        <w:rPr>
          <w:b/>
          <w:sz w:val="24"/>
          <w:szCs w:val="24"/>
        </w:rPr>
        <w:t>:</w:t>
      </w:r>
      <w:r w:rsidR="00910811">
        <w:rPr>
          <w:b/>
        </w:rPr>
        <w:t xml:space="preserve"> </w:t>
      </w:r>
      <w:bookmarkEnd w:id="29"/>
    </w:p>
    <w:p w14:paraId="48FBA55E" w14:textId="77777777" w:rsidR="242ED5FF" w:rsidRPr="00CE6108" w:rsidRDefault="242ED5FF" w:rsidP="43C16428">
      <w:r>
        <w:t>The Program will deliver downstream energy savings through the following energy efficiency calculation platforms:</w:t>
      </w:r>
    </w:p>
    <w:p w14:paraId="7903DBBD" w14:textId="77777777" w:rsidR="242ED5FF" w:rsidRPr="00D02207" w:rsidRDefault="242ED5FF" w:rsidP="00D02207">
      <w:pPr>
        <w:pStyle w:val="ListParagraph"/>
        <w:numPr>
          <w:ilvl w:val="0"/>
          <w:numId w:val="35"/>
        </w:numPr>
      </w:pPr>
      <w:r w:rsidRPr="00D02207">
        <w:t xml:space="preserve">Prescriptive </w:t>
      </w:r>
    </w:p>
    <w:p w14:paraId="0229E46C" w14:textId="7CBE7269" w:rsidR="242ED5FF" w:rsidRPr="00D02207" w:rsidRDefault="242ED5FF" w:rsidP="00D02207">
      <w:pPr>
        <w:pStyle w:val="ListParagraph"/>
        <w:numPr>
          <w:ilvl w:val="0"/>
          <w:numId w:val="35"/>
        </w:numPr>
      </w:pPr>
      <w:r w:rsidRPr="00D02207">
        <w:t>Custom calculated</w:t>
      </w:r>
    </w:p>
    <w:p w14:paraId="20A394DD" w14:textId="259DD893" w:rsidR="242ED5FF" w:rsidRDefault="242ED5FF" w:rsidP="43C16428">
      <w:r>
        <w:t>Customers will be identified and funneled into the appropriate platform based on their individual needs, savings opportunity, and efficiency goals.</w:t>
      </w:r>
    </w:p>
    <w:p w14:paraId="4B326DC8" w14:textId="2ED4D9B1" w:rsidR="1BB26EA1" w:rsidRDefault="1BB26EA1" w:rsidP="43C16428"/>
    <w:p w14:paraId="1C2CBFC7" w14:textId="77777777" w:rsidR="00DB03C9" w:rsidRDefault="00DB03C9" w:rsidP="00DB03C9">
      <w:pPr>
        <w:rPr>
          <w:b/>
        </w:rPr>
      </w:pPr>
      <w:r w:rsidRPr="43C16428">
        <w:rPr>
          <w:b/>
          <w:bCs/>
        </w:rPr>
        <w:t>Customer Outreach:</w:t>
      </w:r>
    </w:p>
    <w:p w14:paraId="6DA4EB20" w14:textId="3F806AD8" w:rsidR="094F7CAC" w:rsidRDefault="39041A1B">
      <w:r w:rsidRPr="00D02207">
        <w:t xml:space="preserve">The Program will leverage multiple customer outreach strategies to drive awareness of energy efficiency offerings and engagement. This includes a data-driven analysis of savings potential and past participation paired with qualitative information on the customer decision making processes and market pressures to determine the best candidates for outreach. Based on this analysis the Program will reach out to customers directly with marketing messages and direct account management. </w:t>
      </w:r>
      <w:r w:rsidR="00DF4445">
        <w:t xml:space="preserve">The Program </w:t>
      </w:r>
      <w:r w:rsidR="00574445">
        <w:t xml:space="preserve">also </w:t>
      </w:r>
      <w:r w:rsidR="00DF4445">
        <w:t>will</w:t>
      </w:r>
      <w:r w:rsidR="00574445">
        <w:t xml:space="preserve"> work</w:t>
      </w:r>
      <w:r w:rsidRPr="00D02207">
        <w:t xml:space="preserve"> with industry organizations and vendors to drive awareness of the offering. </w:t>
      </w:r>
    </w:p>
    <w:p w14:paraId="455222C7" w14:textId="3C8FB583" w:rsidR="094F7CAC" w:rsidRDefault="39041A1B">
      <w:r w:rsidRPr="00D02207">
        <w:lastRenderedPageBreak/>
        <w:t xml:space="preserve">Direct customer outreach will be the key tactic to drive customer participation. The Programs’ outreach and account management team will focus on face-to-face meetings, email and phone calls to create and sustain relationships and drive </w:t>
      </w:r>
      <w:r w:rsidR="007351C4">
        <w:t>Program adoption</w:t>
      </w:r>
      <w:r w:rsidRPr="00D02207">
        <w:t>. The strategies outlined below will be continuously built upon by the outreach team as the account managers continue to engage deeper in the market. Regular review</w:t>
      </w:r>
      <w:r w:rsidR="007351C4">
        <w:t>s</w:t>
      </w:r>
      <w:r w:rsidRPr="00D02207">
        <w:t xml:space="preserve"> </w:t>
      </w:r>
      <w:r w:rsidR="00B30C6E">
        <w:t>will</w:t>
      </w:r>
      <w:r w:rsidRPr="00D02207">
        <w:t xml:space="preserve"> be conducted of these resources to assess relevance, and to make sure there are adequate resources to drive the desired results.   </w:t>
      </w:r>
    </w:p>
    <w:p w14:paraId="5C3017F2" w14:textId="327AB5CE" w:rsidR="094F7CAC" w:rsidRDefault="39041A1B">
      <w:r w:rsidRPr="00D02207">
        <w:t>Lead generation will come from a variety of sources including:</w:t>
      </w:r>
    </w:p>
    <w:p w14:paraId="4D231E68" w14:textId="3B9A1DDC" w:rsidR="094F7CAC" w:rsidRPr="00D02207" w:rsidRDefault="39041A1B" w:rsidP="00D02207">
      <w:pPr>
        <w:pStyle w:val="ListParagraph"/>
        <w:numPr>
          <w:ilvl w:val="0"/>
          <w:numId w:val="24"/>
        </w:numPr>
      </w:pPr>
      <w:r w:rsidRPr="00D02207">
        <w:t>Direct to customer marketing</w:t>
      </w:r>
    </w:p>
    <w:p w14:paraId="6544DBFB" w14:textId="4392BF6F" w:rsidR="094F7CAC" w:rsidRPr="00D02207" w:rsidRDefault="39041A1B" w:rsidP="00D02207">
      <w:pPr>
        <w:pStyle w:val="ListParagraph"/>
        <w:numPr>
          <w:ilvl w:val="0"/>
          <w:numId w:val="24"/>
        </w:numPr>
      </w:pPr>
      <w:r w:rsidRPr="00D02207">
        <w:t>P</w:t>
      </w:r>
      <w:r w:rsidR="008D470D">
        <w:t>rogram</w:t>
      </w:r>
      <w:r w:rsidRPr="00D02207">
        <w:t xml:space="preserve"> and PG&amp;E account managers</w:t>
      </w:r>
    </w:p>
    <w:p w14:paraId="3523E729" w14:textId="7FD12A67" w:rsidR="094F7CAC" w:rsidRPr="00D02207" w:rsidRDefault="39041A1B" w:rsidP="00D02207">
      <w:pPr>
        <w:pStyle w:val="ListParagraph"/>
        <w:numPr>
          <w:ilvl w:val="0"/>
          <w:numId w:val="24"/>
        </w:numPr>
      </w:pPr>
      <w:r w:rsidRPr="00D02207">
        <w:t>Manufacturers, distributors and vendors serving these segment</w:t>
      </w:r>
    </w:p>
    <w:p w14:paraId="1CA080A0" w14:textId="1654AFAD" w:rsidR="094F7CAC" w:rsidRPr="00D02207" w:rsidRDefault="39041A1B" w:rsidP="00D02207">
      <w:pPr>
        <w:pStyle w:val="ListParagraph"/>
        <w:numPr>
          <w:ilvl w:val="0"/>
          <w:numId w:val="24"/>
        </w:numPr>
      </w:pPr>
      <w:r w:rsidRPr="00D02207">
        <w:t>Industry and trade organizations</w:t>
      </w:r>
    </w:p>
    <w:p w14:paraId="0040E246" w14:textId="59A3EF6B" w:rsidR="007E7B61" w:rsidRDefault="007E7B61" w:rsidP="007E7B61">
      <w:r w:rsidRPr="00D02207">
        <w:t>Prospective customers will be contacted and introduced to the program at a high level to gauge their interest and business needs. Collateral</w:t>
      </w:r>
      <w:r w:rsidR="008670B3">
        <w:t>,</w:t>
      </w:r>
      <w:r w:rsidRPr="00D02207">
        <w:t xml:space="preserve"> which is specific to the customer need</w:t>
      </w:r>
      <w:r w:rsidR="008670B3">
        <w:t>,</w:t>
      </w:r>
      <w:r w:rsidRPr="00D02207">
        <w:t xml:space="preserve"> will be used to educate the customer about the benefits of participation and help them identify best-fit solutions for their business.  The account managers will ensure that customers are supported as they move through the program. The Program will focus on customer satisfaction as repeat participation and word-of-mouth are key program savings strategies. </w:t>
      </w:r>
    </w:p>
    <w:p w14:paraId="61EEE895" w14:textId="57E64AC9" w:rsidR="094F7CAC" w:rsidRDefault="39041A1B">
      <w:r w:rsidRPr="00D02207">
        <w:t>The Program</w:t>
      </w:r>
      <w:r w:rsidR="000951BB">
        <w:t xml:space="preserve"> team</w:t>
      </w:r>
      <w:r w:rsidRPr="00D02207">
        <w:t xml:space="preserve"> will be able to speak to other programs and opportunities that support the sustainability goals of customers in these sectors. This will help eliminate customer confusion about multiple program offerings and will coordinate with existing statewide and local government programs to avoid overlapping customer outreach activities. </w:t>
      </w:r>
    </w:p>
    <w:p w14:paraId="6F5DD5B7" w14:textId="77777777" w:rsidR="00DB03C9" w:rsidRPr="00D02207" w:rsidRDefault="00DB03C9" w:rsidP="00DB03C9"/>
    <w:p w14:paraId="7DDCBA7F" w14:textId="77777777" w:rsidR="00DB03C9" w:rsidRPr="00F369CF" w:rsidRDefault="00DB03C9" w:rsidP="00DB03C9">
      <w:pPr>
        <w:rPr>
          <w:b/>
        </w:rPr>
      </w:pPr>
      <w:r w:rsidRPr="43C16428">
        <w:rPr>
          <w:b/>
          <w:bCs/>
        </w:rPr>
        <w:t>Support Tactics:</w:t>
      </w:r>
    </w:p>
    <w:p w14:paraId="47E88870" w14:textId="24A5DF3D" w:rsidR="7AA8AB8D" w:rsidRDefault="60F6DEFC">
      <w:r w:rsidRPr="00D02207">
        <w:t>Other marketing tactics that will support customer lead generation and account management include:</w:t>
      </w:r>
    </w:p>
    <w:p w14:paraId="49E194E3" w14:textId="1EBF2A17" w:rsidR="7AA8AB8D" w:rsidRPr="00D02207" w:rsidRDefault="60F6DEFC" w:rsidP="00D02207">
      <w:pPr>
        <w:pStyle w:val="ListParagraph"/>
        <w:numPr>
          <w:ilvl w:val="0"/>
          <w:numId w:val="24"/>
        </w:numPr>
      </w:pPr>
      <w:r w:rsidRPr="00D02207">
        <w:rPr>
          <w:b/>
        </w:rPr>
        <w:t>Collateral:</w:t>
      </w:r>
      <w:r w:rsidRPr="00D02207">
        <w:t xml:space="preserve"> </w:t>
      </w:r>
      <w:r w:rsidR="006A4CEE">
        <w:t>Sector specific e</w:t>
      </w:r>
      <w:r w:rsidRPr="00D02207">
        <w:t>ducational materials that convey the energy and non-energy benefits associated with custom projects and other offerings. These materials will educate customers about the long-term benefits of energy efficiency, available incentives, and other programs that may help. Program collateral will include:</w:t>
      </w:r>
    </w:p>
    <w:p w14:paraId="785DAAF9" w14:textId="7A93DC1D" w:rsidR="7AA8AB8D" w:rsidRPr="00D02207" w:rsidRDefault="60F6DEFC" w:rsidP="00D02207">
      <w:pPr>
        <w:pStyle w:val="ListParagraph"/>
        <w:numPr>
          <w:ilvl w:val="1"/>
          <w:numId w:val="24"/>
        </w:numPr>
      </w:pPr>
      <w:r w:rsidRPr="00D02207">
        <w:t>Program overview</w:t>
      </w:r>
    </w:p>
    <w:p w14:paraId="507D95C9" w14:textId="3178611E" w:rsidR="7AA8AB8D" w:rsidRPr="00D02207" w:rsidRDefault="60F6DEFC" w:rsidP="00D02207">
      <w:pPr>
        <w:pStyle w:val="ListParagraph"/>
        <w:numPr>
          <w:ilvl w:val="1"/>
          <w:numId w:val="24"/>
        </w:numPr>
      </w:pPr>
      <w:r w:rsidRPr="00D02207">
        <w:t>Industry specific info sheets</w:t>
      </w:r>
    </w:p>
    <w:p w14:paraId="13DA592E" w14:textId="178B051F" w:rsidR="7AA8AB8D" w:rsidRPr="00D02207" w:rsidRDefault="60F6DEFC" w:rsidP="00D02207">
      <w:pPr>
        <w:pStyle w:val="ListParagraph"/>
        <w:numPr>
          <w:ilvl w:val="1"/>
          <w:numId w:val="24"/>
        </w:numPr>
      </w:pPr>
      <w:r w:rsidRPr="00D02207">
        <w:t>Measure specific info sheets</w:t>
      </w:r>
    </w:p>
    <w:p w14:paraId="6F788882" w14:textId="14A70537" w:rsidR="7AA8AB8D" w:rsidRPr="00D02207" w:rsidRDefault="60F6DEFC" w:rsidP="00D02207">
      <w:pPr>
        <w:pStyle w:val="ListParagraph"/>
        <w:numPr>
          <w:ilvl w:val="0"/>
          <w:numId w:val="24"/>
        </w:numPr>
      </w:pPr>
      <w:r w:rsidRPr="00D02207">
        <w:rPr>
          <w:b/>
        </w:rPr>
        <w:t xml:space="preserve">Case Studies: </w:t>
      </w:r>
      <w:r w:rsidRPr="00D02207">
        <w:t xml:space="preserve">Descriptions of specific projects that have been implemented by customers in California will be a key tool for account managers to use in encouraging customers to participate. Case studies will be developed on a wide variety of measures and industry type to equip the outreach team with specific examples of completed projects to show customers. </w:t>
      </w:r>
    </w:p>
    <w:p w14:paraId="3C56A153" w14:textId="5C8AA74D" w:rsidR="7AA8AB8D" w:rsidRPr="00D02207" w:rsidRDefault="60F6DEFC" w:rsidP="00D02207">
      <w:pPr>
        <w:pStyle w:val="ListParagraph"/>
        <w:numPr>
          <w:ilvl w:val="0"/>
          <w:numId w:val="24"/>
        </w:numPr>
      </w:pPr>
      <w:r w:rsidRPr="00D02207">
        <w:rPr>
          <w:b/>
        </w:rPr>
        <w:t xml:space="preserve">Web Content: </w:t>
      </w:r>
      <w:r w:rsidR="009467ED">
        <w:t>There will be a dedicated</w:t>
      </w:r>
      <w:r w:rsidRPr="00D02207">
        <w:t xml:space="preserve"> website to promote the Program and provide valuable information to potential customers and other stakeholders. Initial content includes incentive details, FAQs, and high-level program information and will be supplemented by case studies and other collateral as developed. Customers visiting the website will be able to access the customer portal as well as contact information to reach Account Manag</w:t>
      </w:r>
      <w:r w:rsidR="00A9323D">
        <w:t>ers</w:t>
      </w:r>
      <w:r w:rsidRPr="00D02207">
        <w:t xml:space="preserve">. </w:t>
      </w:r>
    </w:p>
    <w:p w14:paraId="11CD4A76" w14:textId="4E4119AE" w:rsidR="7AA8AB8D" w:rsidRPr="00D02207" w:rsidRDefault="60F6DEFC" w:rsidP="00D02207">
      <w:pPr>
        <w:pStyle w:val="ListParagraph"/>
        <w:numPr>
          <w:ilvl w:val="0"/>
          <w:numId w:val="24"/>
        </w:numPr>
        <w:rPr>
          <w:b/>
        </w:rPr>
      </w:pPr>
      <w:r w:rsidRPr="00D02207">
        <w:rPr>
          <w:b/>
        </w:rPr>
        <w:t xml:space="preserve">Trade Associations: </w:t>
      </w:r>
      <w:r w:rsidRPr="00D02207">
        <w:t xml:space="preserve">Trade associations are trusted partners in the business community and provide another avenue for reaching target sectors. CLEAResult will reach out to local trade associations and business leader groups to raise program awareness. </w:t>
      </w:r>
    </w:p>
    <w:p w14:paraId="61E23CF7" w14:textId="124EEA13" w:rsidR="43C16428" w:rsidRDefault="43C16428" w:rsidP="43C16428">
      <w:pPr>
        <w:rPr>
          <w:rFonts w:eastAsia="Arial" w:cs="Arial"/>
          <w:b/>
          <w:bCs/>
          <w:sz w:val="20"/>
          <w:szCs w:val="20"/>
        </w:rPr>
      </w:pPr>
    </w:p>
    <w:p w14:paraId="55387550" w14:textId="77777777" w:rsidR="00DB03C9" w:rsidRPr="00E61693" w:rsidRDefault="00DB03C9" w:rsidP="00DB03C9">
      <w:pPr>
        <w:rPr>
          <w:b/>
        </w:rPr>
      </w:pPr>
      <w:r w:rsidRPr="43C16428">
        <w:rPr>
          <w:b/>
          <w:bCs/>
        </w:rPr>
        <w:t>Services Provided:</w:t>
      </w:r>
    </w:p>
    <w:p w14:paraId="69E91A82" w14:textId="1901DB36" w:rsidR="2AD74F0A" w:rsidRPr="00D02207" w:rsidRDefault="2FE52028" w:rsidP="00D02207">
      <w:pPr>
        <w:pStyle w:val="ListParagraph"/>
        <w:numPr>
          <w:ilvl w:val="0"/>
          <w:numId w:val="24"/>
        </w:numPr>
        <w:rPr>
          <w:rFonts w:asciiTheme="minorHAnsi" w:eastAsiaTheme="minorEastAsia" w:hAnsiTheme="minorHAnsi"/>
          <w:szCs w:val="18"/>
        </w:rPr>
      </w:pPr>
      <w:r w:rsidRPr="4E9DA6BF">
        <w:rPr>
          <w:b/>
          <w:bCs/>
        </w:rPr>
        <w:t xml:space="preserve">Dedicated Energy Advisors </w:t>
      </w:r>
      <w:r w:rsidR="0493A5AF">
        <w:t>p</w:t>
      </w:r>
      <w:r w:rsidR="2A5A5444">
        <w:t>rovide</w:t>
      </w:r>
      <w:r w:rsidR="2A5A5444" w:rsidRPr="00D02207">
        <w:t xml:space="preserve"> personalized attention, follow–through, and assistance in identifying solutions that meet customers’ needs, budget, and levels of readiness for change.</w:t>
      </w:r>
    </w:p>
    <w:p w14:paraId="7830A981" w14:textId="2CF1D1F9" w:rsidR="2AD74F0A" w:rsidRPr="00D02207" w:rsidRDefault="2A5A5444" w:rsidP="00D02207">
      <w:pPr>
        <w:pStyle w:val="ListParagraph"/>
        <w:numPr>
          <w:ilvl w:val="0"/>
          <w:numId w:val="24"/>
        </w:numPr>
        <w:rPr>
          <w:b/>
        </w:rPr>
      </w:pPr>
      <w:r w:rsidRPr="00D02207">
        <w:rPr>
          <w:b/>
        </w:rPr>
        <w:t>Facility Audits</w:t>
      </w:r>
      <w:r w:rsidR="00D02207">
        <w:rPr>
          <w:b/>
          <w:bCs/>
        </w:rPr>
        <w:t>:</w:t>
      </w:r>
      <w:r w:rsidRPr="00D02207">
        <w:t xml:space="preserve"> Targeted facility audit to provide a peripheral view of the facility and operating systems to assist in development of a list of potential measures and opportunities.</w:t>
      </w:r>
      <w:r w:rsidRPr="00D02207">
        <w:rPr>
          <w:b/>
        </w:rPr>
        <w:t xml:space="preserve"> </w:t>
      </w:r>
    </w:p>
    <w:p w14:paraId="42EA05BA" w14:textId="4E9A46F5" w:rsidR="2AD74F0A" w:rsidRDefault="2A5A5444" w:rsidP="00D02207">
      <w:pPr>
        <w:pStyle w:val="ListParagraph"/>
        <w:numPr>
          <w:ilvl w:val="0"/>
          <w:numId w:val="24"/>
        </w:numPr>
      </w:pPr>
      <w:r w:rsidRPr="00D02207">
        <w:rPr>
          <w:b/>
        </w:rPr>
        <w:t>Technical Assistance</w:t>
      </w:r>
      <w:r w:rsidR="00D02207">
        <w:rPr>
          <w:b/>
          <w:bCs/>
        </w:rPr>
        <w:t>:</w:t>
      </w:r>
      <w:r w:rsidRPr="00D02207">
        <w:t xml:space="preserve"> The Program will offer technical assistance to customers to help them understand the full scope of available resource conservation options and guide customers through the process from project identification to completion. </w:t>
      </w:r>
    </w:p>
    <w:p w14:paraId="3A32DBEC" w14:textId="221CDBF7" w:rsidR="00A05FAB" w:rsidRPr="00D02207" w:rsidRDefault="00A05FAB" w:rsidP="00D02207">
      <w:pPr>
        <w:pStyle w:val="ListParagraph"/>
        <w:numPr>
          <w:ilvl w:val="0"/>
          <w:numId w:val="24"/>
        </w:numPr>
      </w:pPr>
      <w:r>
        <w:rPr>
          <w:b/>
        </w:rPr>
        <w:t>Financing:</w:t>
      </w:r>
      <w:r w:rsidR="00641D81" w:rsidRPr="00641D81">
        <w:t xml:space="preserve"> </w:t>
      </w:r>
      <w:r w:rsidR="00641D81" w:rsidRPr="004E6F3E">
        <w:t xml:space="preserve">Integrated financing </w:t>
      </w:r>
      <w:r w:rsidR="00B01AF0">
        <w:t xml:space="preserve">options provided to </w:t>
      </w:r>
      <w:r w:rsidR="0085043D">
        <w:t xml:space="preserve">reduce the </w:t>
      </w:r>
      <w:r w:rsidR="00AB3E33">
        <w:t xml:space="preserve">need for capital investment in energy efficiency measures. </w:t>
      </w:r>
    </w:p>
    <w:p w14:paraId="3340AF7B" w14:textId="3D171F21" w:rsidR="2AD74F0A" w:rsidRPr="00D02207" w:rsidRDefault="2A5A5444" w:rsidP="00D02207">
      <w:pPr>
        <w:pStyle w:val="ListParagraph"/>
        <w:numPr>
          <w:ilvl w:val="0"/>
          <w:numId w:val="24"/>
        </w:numPr>
      </w:pPr>
      <w:r w:rsidRPr="00D02207">
        <w:rPr>
          <w:b/>
        </w:rPr>
        <w:lastRenderedPageBreak/>
        <w:t>Incentives</w:t>
      </w:r>
      <w:r w:rsidR="00D02207">
        <w:rPr>
          <w:b/>
          <w:bCs/>
        </w:rPr>
        <w:t>:</w:t>
      </w:r>
      <w:r w:rsidRPr="00D02207">
        <w:t xml:space="preserve"> Financial incentives provided to off-set costs of energy efficiency measures. </w:t>
      </w:r>
    </w:p>
    <w:p w14:paraId="7A1EEF1E" w14:textId="4F5C39F7" w:rsidR="43C16428" w:rsidRDefault="43C16428" w:rsidP="43C16428"/>
    <w:p w14:paraId="441E94BE" w14:textId="2A7CA558" w:rsidR="00DB03C9" w:rsidRDefault="00DB03C9" w:rsidP="00DB03C9">
      <w:pPr>
        <w:rPr>
          <w:b/>
        </w:rPr>
      </w:pPr>
      <w:bookmarkStart w:id="30" w:name="_Toc8227877"/>
      <w:bookmarkStart w:id="31" w:name="_Toc57653958"/>
      <w:r w:rsidRPr="00D56CCD">
        <w:rPr>
          <w:rStyle w:val="Heading2Char"/>
          <w:sz w:val="24"/>
          <w:szCs w:val="24"/>
        </w:rPr>
        <w:t>3. Program Design and Best Practices</w:t>
      </w:r>
      <w:bookmarkEnd w:id="30"/>
      <w:bookmarkEnd w:id="31"/>
      <w:r w:rsidRPr="00D56CCD">
        <w:rPr>
          <w:b/>
          <w:sz w:val="24"/>
          <w:szCs w:val="24"/>
        </w:rPr>
        <w:t xml:space="preserve">: </w:t>
      </w:r>
    </w:p>
    <w:p w14:paraId="643D0E65" w14:textId="77777777" w:rsidR="00DB03C9" w:rsidRDefault="00DB03C9" w:rsidP="00DB03C9">
      <w:pPr>
        <w:rPr>
          <w:b/>
        </w:rPr>
      </w:pPr>
    </w:p>
    <w:p w14:paraId="155E1C93" w14:textId="77777777" w:rsidR="00DB03C9" w:rsidRPr="004E6F3E" w:rsidRDefault="00DB03C9" w:rsidP="00DB03C9">
      <w:pPr>
        <w:rPr>
          <w:b/>
        </w:rPr>
      </w:pPr>
      <w:r w:rsidRPr="43C16428">
        <w:rPr>
          <w:b/>
          <w:bCs/>
        </w:rPr>
        <w:t>Program Design:</w:t>
      </w:r>
    </w:p>
    <w:p w14:paraId="5AD9DFCE" w14:textId="22A05D74" w:rsidR="468EFA25" w:rsidRDefault="63D1498D">
      <w:r w:rsidRPr="00D02207">
        <w:t xml:space="preserve">The program is designed to meet the needs of a diverse range of industrial customers, with a flexible incentive structure and multi-track engagement approach that guides each participant to the path </w:t>
      </w:r>
      <w:r w:rsidR="009236D9" w:rsidRPr="00D02207">
        <w:t>that is</w:t>
      </w:r>
      <w:r w:rsidRPr="00D02207">
        <w:t xml:space="preserve"> right for them. The Program will also use this process to identify which program pathway might be the best fit for each customer. The Program will:</w:t>
      </w:r>
    </w:p>
    <w:p w14:paraId="479B0D03" w14:textId="751D8EFE" w:rsidR="468EFA25" w:rsidRPr="00D02207" w:rsidRDefault="63D1498D" w:rsidP="00D02207">
      <w:pPr>
        <w:pStyle w:val="ListParagraph"/>
        <w:numPr>
          <w:ilvl w:val="0"/>
          <w:numId w:val="36"/>
        </w:numPr>
      </w:pPr>
      <w:r w:rsidRPr="00D02207">
        <w:t xml:space="preserve">Combine incentive and financing resources to reduce costs, align with benefits, and reward savings. </w:t>
      </w:r>
    </w:p>
    <w:p w14:paraId="5DB5E501" w14:textId="14651F2A" w:rsidR="468EFA25" w:rsidRPr="00D02207" w:rsidRDefault="63D1498D" w:rsidP="00D02207">
      <w:pPr>
        <w:pStyle w:val="ListParagraph"/>
        <w:numPr>
          <w:ilvl w:val="0"/>
          <w:numId w:val="36"/>
        </w:numPr>
      </w:pPr>
      <w:r w:rsidRPr="00D02207">
        <w:t xml:space="preserve">Carefully consider customer journeys and value propositions, tailored to support varied customer decision networks, make participating simple and attractive. </w:t>
      </w:r>
    </w:p>
    <w:p w14:paraId="5FD1E2E4" w14:textId="0B0E7438" w:rsidR="468EFA25" w:rsidRPr="00D02207" w:rsidRDefault="63D1498D" w:rsidP="00D02207">
      <w:pPr>
        <w:pStyle w:val="ListParagraph"/>
        <w:numPr>
          <w:ilvl w:val="0"/>
          <w:numId w:val="36"/>
        </w:numPr>
      </w:pPr>
      <w:r w:rsidRPr="00D02207">
        <w:t xml:space="preserve">Form meaningful links between energy savings and internal priorities, such as increased production or employee retention. </w:t>
      </w:r>
    </w:p>
    <w:p w14:paraId="77C7FB63" w14:textId="0CFD8146" w:rsidR="468EFA25" w:rsidRPr="00D02207" w:rsidRDefault="63D1498D" w:rsidP="004E6F3E">
      <w:pPr>
        <w:pStyle w:val="ListParagraph"/>
        <w:numPr>
          <w:ilvl w:val="0"/>
          <w:numId w:val="36"/>
        </w:numPr>
      </w:pPr>
      <w:r w:rsidRPr="00D02207">
        <w:t>Reduce complications associated with vetting and approving new products for incentives through our expert engineering analysis of market opportunity and strong regulatory presence and relationships.</w:t>
      </w:r>
    </w:p>
    <w:p w14:paraId="0BFE1D9A" w14:textId="4E9F82F0" w:rsidR="468EFA25" w:rsidRDefault="63D1498D">
      <w:r w:rsidRPr="00D02207">
        <w:t xml:space="preserve">The Program will tailor the customer experience based on the individual needs and goals of each customer: technical support through industry specific engineers, customizable tools, partner services, and best practices informed by insights from other programs targeting similar customer segments. The close engagement with each customer will foster the ability to guide them towards the participation track best suited to their organizational structure and goals – from more straightforward deemed measures to highly technical custom measures. </w:t>
      </w:r>
    </w:p>
    <w:p w14:paraId="597D644B" w14:textId="63F302DF" w:rsidR="468EFA25" w:rsidRDefault="63D1498D">
      <w:r w:rsidRPr="00D02207">
        <w:t>Following the initial customer engagement, The Program will match them with a dedicated energy advisor who will provide ongoing support, guidance, and follow-up communication throughout their participation experience. Additionally, this initial engagement will be used to schedule and perform a Facility Assessment tailored to the customer’s size and potential, and determine the track (custom</w:t>
      </w:r>
      <w:r w:rsidR="0043197E">
        <w:t xml:space="preserve"> </w:t>
      </w:r>
      <w:r w:rsidRPr="00D02207">
        <w:t>or deemed incentives) best suited to identified project opportunities.</w:t>
      </w:r>
    </w:p>
    <w:p w14:paraId="0410108A" w14:textId="65F6636A" w:rsidR="468EFA25" w:rsidRDefault="63D1498D">
      <w:r w:rsidRPr="00D02207">
        <w:t xml:space="preserve">Understanding that the local workforce represents a key customer touchpoint, The Program will provide trade allies with the strong, comprehensive tools and training they need to help customers navigate the decision-making process and drive project adoption. The Program will leverage this network to utilize our established best practices in program ally outreach and engagement to convey the benefits of relevant energy-efficient measures, best practice installation guidelines, and PG&amp;E-specific requirements. </w:t>
      </w:r>
    </w:p>
    <w:p w14:paraId="36F328DD" w14:textId="77777777" w:rsidR="00DB03C9" w:rsidRDefault="00DB03C9" w:rsidP="00DB03C9">
      <w:pPr>
        <w:rPr>
          <w:b/>
        </w:rPr>
      </w:pPr>
    </w:p>
    <w:p w14:paraId="29737350" w14:textId="77777777" w:rsidR="00DB03C9" w:rsidRPr="00CB08C4" w:rsidRDefault="00DB03C9" w:rsidP="00DB03C9">
      <w:pPr>
        <w:rPr>
          <w:b/>
        </w:rPr>
      </w:pPr>
      <w:r w:rsidRPr="43C16428">
        <w:rPr>
          <w:b/>
          <w:bCs/>
        </w:rPr>
        <w:t>Market Barriers:</w:t>
      </w:r>
    </w:p>
    <w:p w14:paraId="48AF27C2" w14:textId="6BCFC083" w:rsidR="6D156517" w:rsidRDefault="21C464EC">
      <w:r w:rsidRPr="004E6F3E">
        <w:t xml:space="preserve">While these markets, and their sub-markets, are different in many ways, industrial customers face many challenges in participating in energy efficiency programs. Many have challenges understanding how best to evaluate and implement cost-effective energy efficiency improvements due to limited bandwidth and/or hesitation to adopt new technologies. In addition, customers in these segments have unique operations and variable conditions driving complexities in program ease of use, business priorities, opportunity identification, and value quantification. Due to competing priorities for resources within a customer’s business, it is a challenge to gain the attention of key decision-makers without having a succinct and proactive energy efficiency strategy that will bring financial and operational benefits to a customer immediately and in the years to come. Improving the efficiency of the equipment and processes driving their business is often not the priority of the facility staff. The unique needs of some customers will necessitate a deeper level of support and engagement to ensure successful project completion. </w:t>
      </w:r>
    </w:p>
    <w:p w14:paraId="3B343B4F" w14:textId="3C36EE2E" w:rsidR="6D156517" w:rsidRDefault="00564EFE">
      <w:r>
        <w:t>For example, r</w:t>
      </w:r>
      <w:r w:rsidR="21C464EC" w:rsidRPr="004E6F3E">
        <w:t xml:space="preserve">esponsible for about one-quarter of the industrial sector’s electric and gas usage, PG&amp;E petroleum customers can contribute significant savings through completion of large, cost-effective projects. Yet </w:t>
      </w:r>
      <w:r w:rsidR="00E86305">
        <w:t>energy efficiency</w:t>
      </w:r>
      <w:r w:rsidR="21C464EC" w:rsidRPr="004E6F3E">
        <w:t xml:space="preserve"> program participation has been historically low and is currently trending downward, largely due to uncertainty around access to </w:t>
      </w:r>
      <w:r w:rsidR="00E86305">
        <w:t>energy efficiency</w:t>
      </w:r>
      <w:r w:rsidR="21C464EC" w:rsidRPr="004E6F3E">
        <w:t xml:space="preserve"> funds, ambiguous or inconsistent policy applications, and long project approval timelines. </w:t>
      </w:r>
    </w:p>
    <w:p w14:paraId="3DF8FDB1" w14:textId="026AFFDB" w:rsidR="6D156517" w:rsidRDefault="21C464EC">
      <w:r w:rsidRPr="004E6F3E">
        <w:t xml:space="preserve">Unlike other segments where savings opportunities exist across widely varied organizations, this sub-segment is dominated by a relatively small number of large consumption facilities. Recently, the oil and gas market has seen a significant amount of disruption due to drops in the price of oil, new state regulatory requirements, and a significant number of merger and </w:t>
      </w:r>
      <w:r w:rsidRPr="004E6F3E">
        <w:lastRenderedPageBreak/>
        <w:t>acquisition activities. Due to this increased volatility, producers are more critical in their project evaluations, and can struggle to justify capital investments beyond what is required to ensure safe and continued operation.</w:t>
      </w:r>
      <w:r>
        <w:t xml:space="preserve"> </w:t>
      </w:r>
      <w:r w:rsidR="004613CB">
        <w:t>Similarly, t</w:t>
      </w:r>
      <w:r w:rsidR="004B5141">
        <w:t>he chemical and mineral</w:t>
      </w:r>
      <w:r w:rsidR="004613CB">
        <w:t xml:space="preserve"> subsegments have their own unique challenges that impact their operations and decision making.</w:t>
      </w:r>
      <w:r w:rsidRPr="004E6F3E">
        <w:t xml:space="preserve"> Our target customers therefore require high-touch engagement to keep EE opportunities relevant and top of mind. </w:t>
      </w:r>
    </w:p>
    <w:p w14:paraId="70C39A08" w14:textId="33DC7A4B" w:rsidR="6D156517" w:rsidRDefault="21C464EC">
      <w:r w:rsidRPr="004E6F3E">
        <w:t xml:space="preserve">To overcome these barriers, industrial customers need a multifaceted approach – not solely an incentive or rebate offer – tailored to meet their specific business requirements. This program design will introduce a tiered approach to program participation so the relationship can begin at the level most appropriate for the individual customer given their priorities, energy savings opportunities, and internal decision-making process and timing. Table 1 below details how The Program will minimize the barriers of participation. </w:t>
      </w:r>
    </w:p>
    <w:p w14:paraId="3A733AA1" w14:textId="74A09B81" w:rsidR="6D156517" w:rsidRDefault="21C464EC">
      <w:r w:rsidRPr="004E6F3E">
        <w:t>The Program includes strategic interventions to solve persistent barriers to industrial customer participation, including:</w:t>
      </w:r>
    </w:p>
    <w:p w14:paraId="3C3E3B08" w14:textId="286C6DD9" w:rsidR="6D156517" w:rsidRPr="004E6F3E" w:rsidRDefault="21C464EC" w:rsidP="004E6F3E">
      <w:pPr>
        <w:pStyle w:val="ListParagraph"/>
        <w:numPr>
          <w:ilvl w:val="0"/>
          <w:numId w:val="24"/>
        </w:numPr>
      </w:pPr>
      <w:r w:rsidRPr="004E6F3E">
        <w:t>Financial constraints inhibiting pursuit of large equipment or system upgrades – including complex internal capital expenditure authorization requirements, limited budget for energy efficiency work, and a fixed budget cycle that requires project planning years in advance – can be addressed through right-sized and transparent incentive structures and integrated financing</w:t>
      </w:r>
      <w:r w:rsidR="004D1790">
        <w:t>.</w:t>
      </w:r>
    </w:p>
    <w:p w14:paraId="047AA4D4" w14:textId="2FCF96A2" w:rsidR="6D156517" w:rsidRPr="004E6F3E" w:rsidRDefault="21C464EC" w:rsidP="004E6F3E">
      <w:pPr>
        <w:pStyle w:val="ListParagraph"/>
        <w:numPr>
          <w:ilvl w:val="0"/>
          <w:numId w:val="24"/>
        </w:numPr>
      </w:pPr>
      <w:r w:rsidRPr="004E6F3E">
        <w:t>The complex decision-making matrix and internal processes, unique to this segment, can be more effectively navigated using BEP’s holistic participant engagement approach</w:t>
      </w:r>
      <w:r w:rsidR="00F10305">
        <w:t>.</w:t>
      </w:r>
    </w:p>
    <w:p w14:paraId="13E2BA06" w14:textId="530814F7" w:rsidR="6D156517" w:rsidRPr="004E6F3E" w:rsidRDefault="21C464EC" w:rsidP="004E6F3E">
      <w:pPr>
        <w:pStyle w:val="ListParagraph"/>
        <w:numPr>
          <w:ilvl w:val="0"/>
          <w:numId w:val="24"/>
        </w:numPr>
      </w:pPr>
      <w:r w:rsidRPr="004E6F3E">
        <w:t>Participants may be aware of operational inefficiencies but not understand the link between diverted energy waste and available incentives, which the program will establish through upfront technical analysis, initial quick-win incentives, and frequent communication regarding incentive status</w:t>
      </w:r>
      <w:r w:rsidR="004D1790">
        <w:t>.</w:t>
      </w:r>
    </w:p>
    <w:p w14:paraId="284EA202" w14:textId="78193473" w:rsidR="6D156517" w:rsidRPr="004E6F3E" w:rsidRDefault="21C464EC" w:rsidP="004E6F3E">
      <w:pPr>
        <w:pStyle w:val="ListParagraph"/>
        <w:numPr>
          <w:ilvl w:val="0"/>
          <w:numId w:val="24"/>
        </w:numPr>
      </w:pPr>
      <w:r w:rsidRPr="004E6F3E">
        <w:t>Lack of confidence in incentive availability or understanding of requirements to obtain funding leading to low participation and skepticism of the process. This is addressed through early establishment of program influence, proven project development protocols and clear and transparent communication</w:t>
      </w:r>
      <w:r w:rsidR="004D1790">
        <w:t>.</w:t>
      </w:r>
    </w:p>
    <w:p w14:paraId="3ADC3C8A" w14:textId="635E97BB" w:rsidR="43C16428" w:rsidRPr="004E6F3E" w:rsidRDefault="43C16428" w:rsidP="43C16428">
      <w:pPr>
        <w:pStyle w:val="CRNormalBody"/>
        <w:rPr>
          <w:sz w:val="18"/>
          <w:szCs w:val="22"/>
          <w:lang w:val="en-US"/>
        </w:rPr>
      </w:pPr>
    </w:p>
    <w:p w14:paraId="35F30AB2" w14:textId="39DE424E" w:rsidR="00DB03C9" w:rsidRPr="004E6F3E" w:rsidRDefault="00DB03C9" w:rsidP="00DB03C9">
      <w:pPr>
        <w:pStyle w:val="CRNormalBody"/>
        <w:rPr>
          <w:sz w:val="18"/>
          <w:szCs w:val="22"/>
          <w:lang w:val="en-US"/>
        </w:rPr>
      </w:pPr>
      <w:bookmarkStart w:id="32" w:name="_Hlk534188912"/>
      <w:r w:rsidRPr="004E6F3E">
        <w:rPr>
          <w:sz w:val="18"/>
          <w:szCs w:val="22"/>
          <w:lang w:val="en-US"/>
        </w:rPr>
        <w:t xml:space="preserve">Table 1 below details how The Program will minimize the barriers of participation. </w:t>
      </w:r>
    </w:p>
    <w:p w14:paraId="47EE298D" w14:textId="77777777" w:rsidR="00DB03C9" w:rsidRPr="00B329EF" w:rsidRDefault="00DB03C9" w:rsidP="00DB03C9">
      <w:pPr>
        <w:keepNext/>
        <w:pBdr>
          <w:top w:val="single" w:sz="4" w:space="4" w:color="auto"/>
        </w:pBdr>
        <w:spacing w:before="240" w:after="60"/>
        <w:jc w:val="both"/>
        <w:rPr>
          <w:rFonts w:asciiTheme="minorHAnsi" w:hAnsiTheme="minorHAnsi"/>
          <w:b/>
          <w:bCs/>
          <w:color w:val="404040"/>
          <w:szCs w:val="18"/>
        </w:rPr>
      </w:pPr>
      <w:r w:rsidRPr="00B23F9A">
        <w:rPr>
          <w:b/>
          <w:bCs/>
          <w:color w:val="404040"/>
          <w:szCs w:val="18"/>
        </w:rPr>
        <w:t xml:space="preserve">Table 1. </w:t>
      </w:r>
      <w:r>
        <w:rPr>
          <w:b/>
          <w:bCs/>
          <w:color w:val="404040"/>
          <w:szCs w:val="18"/>
        </w:rPr>
        <w:t>Market Barrier</w:t>
      </w:r>
      <w:r w:rsidRPr="00B23F9A">
        <w:rPr>
          <w:b/>
          <w:bCs/>
          <w:color w:val="404040"/>
          <w:szCs w:val="18"/>
        </w:rPr>
        <w:t>, Risks, and Risk Management</w:t>
      </w:r>
      <w:r w:rsidRPr="00B329EF">
        <w:rPr>
          <w:b/>
          <w:bCs/>
          <w:color w:val="404040"/>
          <w:szCs w:val="18"/>
        </w:rPr>
        <w:t xml:space="preserve"> Strategies</w:t>
      </w:r>
    </w:p>
    <w:tbl>
      <w:tblPr>
        <w:tblStyle w:val="CLEAResultTable"/>
        <w:tblW w:w="5000" w:type="pct"/>
        <w:tblLook w:val="04A0" w:firstRow="1" w:lastRow="0" w:firstColumn="1" w:lastColumn="0" w:noHBand="0" w:noVBand="1"/>
      </w:tblPr>
      <w:tblGrid>
        <w:gridCol w:w="3026"/>
        <w:gridCol w:w="3522"/>
        <w:gridCol w:w="3522"/>
      </w:tblGrid>
      <w:tr w:rsidR="00DB03C9" w:rsidRPr="0075378D" w14:paraId="717B0E2D" w14:textId="77777777" w:rsidTr="00DB03C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02" w:type="pct"/>
            <w:hideMark/>
          </w:tcPr>
          <w:p w14:paraId="16BCECBA" w14:textId="77777777" w:rsidR="00DB03C9" w:rsidRPr="00B23F9A" w:rsidRDefault="00DB03C9" w:rsidP="00DB03C9">
            <w:pPr>
              <w:keepNext/>
              <w:keepLines/>
              <w:jc w:val="both"/>
              <w:rPr>
                <w:color w:val="auto"/>
                <w:szCs w:val="20"/>
                <w:lang w:val="en"/>
              </w:rPr>
            </w:pPr>
            <w:r w:rsidRPr="00B23F9A">
              <w:rPr>
                <w:color w:val="auto"/>
                <w:szCs w:val="20"/>
                <w:lang w:val="en"/>
              </w:rPr>
              <w:t>Market Barrier</w:t>
            </w:r>
          </w:p>
        </w:tc>
        <w:tc>
          <w:tcPr>
            <w:tcW w:w="1749" w:type="pct"/>
            <w:hideMark/>
          </w:tcPr>
          <w:p w14:paraId="68D261A0" w14:textId="77777777" w:rsidR="00DB03C9" w:rsidRPr="00B23F9A" w:rsidRDefault="00DB03C9" w:rsidP="00DB03C9">
            <w:pPr>
              <w:keepNext/>
              <w:keepLines/>
              <w:jc w:val="both"/>
              <w:cnfStyle w:val="100000000000" w:firstRow="1" w:lastRow="0" w:firstColumn="0" w:lastColumn="0" w:oddVBand="0" w:evenVBand="0" w:oddHBand="0" w:evenHBand="0" w:firstRowFirstColumn="0" w:firstRowLastColumn="0" w:lastRowFirstColumn="0" w:lastRowLastColumn="0"/>
              <w:rPr>
                <w:color w:val="auto"/>
                <w:szCs w:val="20"/>
                <w:lang w:val="en"/>
              </w:rPr>
            </w:pPr>
            <w:r w:rsidRPr="00B23F9A">
              <w:rPr>
                <w:color w:val="auto"/>
                <w:szCs w:val="20"/>
                <w:lang w:val="en"/>
              </w:rPr>
              <w:t>Risk</w:t>
            </w:r>
          </w:p>
        </w:tc>
        <w:tc>
          <w:tcPr>
            <w:tcW w:w="1749" w:type="pct"/>
            <w:hideMark/>
          </w:tcPr>
          <w:p w14:paraId="69F830F5" w14:textId="77777777" w:rsidR="00DB03C9" w:rsidRPr="00B23F9A" w:rsidRDefault="00DB03C9" w:rsidP="00DB03C9">
            <w:pPr>
              <w:keepNext/>
              <w:keepLines/>
              <w:jc w:val="both"/>
              <w:cnfStyle w:val="100000000000" w:firstRow="1" w:lastRow="0" w:firstColumn="0" w:lastColumn="0" w:oddVBand="0" w:evenVBand="0" w:oddHBand="0" w:evenHBand="0" w:firstRowFirstColumn="0" w:firstRowLastColumn="0" w:lastRowFirstColumn="0" w:lastRowLastColumn="0"/>
              <w:rPr>
                <w:color w:val="auto"/>
                <w:szCs w:val="20"/>
                <w:lang w:val="en"/>
              </w:rPr>
            </w:pPr>
            <w:r w:rsidRPr="00B23F9A">
              <w:rPr>
                <w:color w:val="auto"/>
                <w:szCs w:val="20"/>
                <w:lang w:val="en"/>
              </w:rPr>
              <w:t>Risk Management Strategies</w:t>
            </w:r>
          </w:p>
        </w:tc>
      </w:tr>
      <w:tr w:rsidR="00DB03C9" w:rsidRPr="0075378D" w14:paraId="553CA310" w14:textId="77777777" w:rsidTr="0C33BC46">
        <w:trPr>
          <w:trHeight w:val="288"/>
        </w:trPr>
        <w:tc>
          <w:tcPr>
            <w:cnfStyle w:val="001000000000" w:firstRow="0" w:lastRow="0" w:firstColumn="1" w:lastColumn="0" w:oddVBand="0" w:evenVBand="0" w:oddHBand="0" w:evenHBand="0" w:firstRowFirstColumn="0" w:firstRowLastColumn="0" w:lastRowFirstColumn="0" w:lastRowLastColumn="0"/>
            <w:tcW w:w="1502" w:type="pct"/>
            <w:shd w:val="clear" w:color="auto" w:fill="D9D9D9" w:themeFill="background2" w:themeFillShade="D9"/>
          </w:tcPr>
          <w:p w14:paraId="18DBD920" w14:textId="49825A6F" w:rsidR="00DB03C9" w:rsidRPr="00B23F9A" w:rsidRDefault="291B459F" w:rsidP="00DB03C9">
            <w:pPr>
              <w:jc w:val="left"/>
              <w:rPr>
                <w:lang w:val="en"/>
              </w:rPr>
            </w:pPr>
            <w:r w:rsidRPr="2368F44F">
              <w:rPr>
                <w:lang w:val="en"/>
              </w:rPr>
              <w:t xml:space="preserve">Financial risks around </w:t>
            </w:r>
            <w:r w:rsidR="5EA84409" w:rsidRPr="642E9963">
              <w:rPr>
                <w:lang w:val="en"/>
              </w:rPr>
              <w:t xml:space="preserve">measure performance and </w:t>
            </w:r>
            <w:r w:rsidRPr="2368F44F">
              <w:rPr>
                <w:lang w:val="en"/>
              </w:rPr>
              <w:t>equipment downtime</w:t>
            </w:r>
          </w:p>
        </w:tc>
        <w:tc>
          <w:tcPr>
            <w:tcW w:w="1749" w:type="pct"/>
          </w:tcPr>
          <w:p w14:paraId="13361686" w14:textId="364BFFBB" w:rsidR="00DB03C9" w:rsidRPr="00B23F9A" w:rsidRDefault="55FF8BA8" w:rsidP="00903E41">
            <w:pPr>
              <w:pStyle w:val="ListParagraph"/>
              <w:numPr>
                <w:ilvl w:val="0"/>
                <w:numId w:val="29"/>
              </w:num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Cs w:val="18"/>
              </w:rPr>
            </w:pPr>
            <w:r w:rsidRPr="0C33BC46">
              <w:rPr>
                <w:rFonts w:eastAsia="Arial" w:cs="Arial"/>
                <w:szCs w:val="18"/>
                <w:lang w:val="en"/>
              </w:rPr>
              <w:t>Decision-makers choose to install cheaper, less efficient equipment with shorter payback/IRR, resulting in lower savings</w:t>
            </w:r>
          </w:p>
          <w:p w14:paraId="02C4E253" w14:textId="3945849D" w:rsidR="00DB03C9" w:rsidRPr="00B23F9A" w:rsidRDefault="55FF8BA8" w:rsidP="008D53BD">
            <w:pPr>
              <w:pStyle w:val="ListParagraph"/>
              <w:numPr>
                <w:ilvl w:val="0"/>
                <w:numId w:val="29"/>
              </w:numPr>
              <w:spacing w:before="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rPr>
            </w:pPr>
            <w:r w:rsidRPr="00142623">
              <w:rPr>
                <w:rFonts w:eastAsia="Arial" w:cs="Arial"/>
                <w:szCs w:val="18"/>
                <w:lang w:val="en"/>
              </w:rPr>
              <w:t>Customers place priority on fluctuating commodity prices</w:t>
            </w:r>
          </w:p>
        </w:tc>
        <w:tc>
          <w:tcPr>
            <w:tcW w:w="1749" w:type="pct"/>
          </w:tcPr>
          <w:p w14:paraId="78CC6B48" w14:textId="7286B789" w:rsidR="00DB03C9" w:rsidRPr="00B23F9A" w:rsidRDefault="6C6569E4" w:rsidP="301D3C5C">
            <w:pPr>
              <w:spacing w:before="0"/>
              <w:cnfStyle w:val="000000000000" w:firstRow="0" w:lastRow="0" w:firstColumn="0" w:lastColumn="0" w:oddVBand="0" w:evenVBand="0" w:oddHBand="0" w:evenHBand="0" w:firstRowFirstColumn="0" w:firstRowLastColumn="0" w:lastRowFirstColumn="0" w:lastRowLastColumn="0"/>
              <w:rPr>
                <w:lang w:val="en"/>
              </w:rPr>
            </w:pPr>
            <w:r w:rsidRPr="301D3C5C">
              <w:rPr>
                <w:lang w:val="en"/>
              </w:rPr>
              <w:t>Flexible incentive process and performance</w:t>
            </w:r>
            <w:r w:rsidR="00B36576" w:rsidRPr="301D3C5C">
              <w:rPr>
                <w:lang w:val="en"/>
              </w:rPr>
              <w:t>-</w:t>
            </w:r>
            <w:r w:rsidRPr="301D3C5C">
              <w:rPr>
                <w:lang w:val="en"/>
              </w:rPr>
              <w:t xml:space="preserve">based incentives </w:t>
            </w:r>
            <w:r w:rsidR="2745A128" w:rsidRPr="301D3C5C">
              <w:rPr>
                <w:lang w:val="en"/>
              </w:rPr>
              <w:t>p</w:t>
            </w:r>
            <w:r w:rsidRPr="301D3C5C">
              <w:rPr>
                <w:lang w:val="en"/>
              </w:rPr>
              <w:t>rovide incentives to reduce the initial cost of retrofit or system upgrades</w:t>
            </w:r>
          </w:p>
        </w:tc>
      </w:tr>
      <w:tr w:rsidR="00DB03C9" w:rsidRPr="0075378D" w14:paraId="54205870" w14:textId="77777777" w:rsidTr="0C33BC46">
        <w:trPr>
          <w:trHeight w:val="288"/>
        </w:trPr>
        <w:tc>
          <w:tcPr>
            <w:cnfStyle w:val="001000000000" w:firstRow="0" w:lastRow="0" w:firstColumn="1" w:lastColumn="0" w:oddVBand="0" w:evenVBand="0" w:oddHBand="0" w:evenHBand="0" w:firstRowFirstColumn="0" w:firstRowLastColumn="0" w:lastRowFirstColumn="0" w:lastRowLastColumn="0"/>
            <w:tcW w:w="1502" w:type="pct"/>
            <w:shd w:val="clear" w:color="auto" w:fill="D9D9D9" w:themeFill="background2" w:themeFillShade="D9"/>
          </w:tcPr>
          <w:p w14:paraId="040A932B" w14:textId="58A72F16" w:rsidR="00DB03C9" w:rsidRPr="00B23F9A" w:rsidRDefault="291B459F" w:rsidP="00DB03C9">
            <w:pPr>
              <w:jc w:val="left"/>
              <w:rPr>
                <w:lang w:val="en"/>
              </w:rPr>
            </w:pPr>
            <w:r w:rsidRPr="5DB7847C">
              <w:rPr>
                <w:lang w:val="en"/>
              </w:rPr>
              <w:t>Complex decision</w:t>
            </w:r>
            <w:r w:rsidR="00B36576" w:rsidRPr="5DB7847C">
              <w:rPr>
                <w:lang w:val="en"/>
              </w:rPr>
              <w:t>-</w:t>
            </w:r>
            <w:r w:rsidRPr="5DB7847C">
              <w:rPr>
                <w:lang w:val="en"/>
              </w:rPr>
              <w:t>making process and long</w:t>
            </w:r>
            <w:r w:rsidR="00B36576" w:rsidRPr="5DB7847C">
              <w:rPr>
                <w:lang w:val="en"/>
              </w:rPr>
              <w:t>-</w:t>
            </w:r>
            <w:r w:rsidRPr="5DB7847C">
              <w:rPr>
                <w:lang w:val="en"/>
              </w:rPr>
              <w:t>term planning</w:t>
            </w:r>
          </w:p>
        </w:tc>
        <w:tc>
          <w:tcPr>
            <w:tcW w:w="1749" w:type="pct"/>
          </w:tcPr>
          <w:p w14:paraId="6F043C03" w14:textId="3FC72D31" w:rsidR="00DB03C9" w:rsidRPr="00B23F9A" w:rsidRDefault="09CB72C4" w:rsidP="008D53BD">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Cs w:val="18"/>
                <w:lang w:val="en"/>
              </w:rPr>
            </w:pPr>
            <w:r w:rsidRPr="0C33BC46">
              <w:rPr>
                <w:lang w:val="en"/>
              </w:rPr>
              <w:t xml:space="preserve">The planning cycle may miss the </w:t>
            </w:r>
            <w:r w:rsidRPr="1BA1D2A2">
              <w:rPr>
                <w:lang w:val="en"/>
              </w:rPr>
              <w:t>opportunity to adopt energy efficiency</w:t>
            </w:r>
          </w:p>
        </w:tc>
        <w:tc>
          <w:tcPr>
            <w:tcW w:w="1749" w:type="pct"/>
          </w:tcPr>
          <w:p w14:paraId="7ABD883C" w14:textId="7C709EA4" w:rsidR="00895E40" w:rsidRPr="00B23F9A" w:rsidRDefault="5EA04B38" w:rsidP="22EBAEBC">
            <w:pPr>
              <w:spacing w:before="0" w:line="276" w:lineRule="auto"/>
              <w:cnfStyle w:val="000000000000" w:firstRow="0" w:lastRow="0" w:firstColumn="0" w:lastColumn="0" w:oddVBand="0" w:evenVBand="0" w:oddHBand="0" w:evenHBand="0" w:firstRowFirstColumn="0" w:firstRowLastColumn="0" w:lastRowFirstColumn="0" w:lastRowLastColumn="0"/>
              <w:rPr>
                <w:lang w:val="en"/>
              </w:rPr>
            </w:pPr>
            <w:r w:rsidRPr="097B79FC">
              <w:rPr>
                <w:lang w:val="en"/>
              </w:rPr>
              <w:t xml:space="preserve">Energy Advisors help to </w:t>
            </w:r>
            <w:r w:rsidR="095075C0" w:rsidRPr="7316921D">
              <w:rPr>
                <w:lang w:val="en"/>
              </w:rPr>
              <w:t>inject</w:t>
            </w:r>
            <w:r w:rsidR="7379BA0C" w:rsidRPr="22EBAEBC">
              <w:rPr>
                <w:lang w:val="en"/>
              </w:rPr>
              <w:t xml:space="preserve"> energy management into long-term planning process</w:t>
            </w:r>
          </w:p>
        </w:tc>
      </w:tr>
      <w:tr w:rsidR="00DB03C9" w:rsidRPr="0075378D" w14:paraId="17C67755" w14:textId="77777777" w:rsidTr="0C33BC46">
        <w:trPr>
          <w:trHeight w:val="288"/>
        </w:trPr>
        <w:tc>
          <w:tcPr>
            <w:cnfStyle w:val="001000000000" w:firstRow="0" w:lastRow="0" w:firstColumn="1" w:lastColumn="0" w:oddVBand="0" w:evenVBand="0" w:oddHBand="0" w:evenHBand="0" w:firstRowFirstColumn="0" w:firstRowLastColumn="0" w:lastRowFirstColumn="0" w:lastRowLastColumn="0"/>
            <w:tcW w:w="1502" w:type="pct"/>
            <w:shd w:val="clear" w:color="auto" w:fill="D9D9D9" w:themeFill="background2" w:themeFillShade="D9"/>
          </w:tcPr>
          <w:p w14:paraId="77ED973A" w14:textId="59F5F954" w:rsidR="00DB03C9" w:rsidRPr="00B23F9A" w:rsidRDefault="291B459F" w:rsidP="00DB03C9">
            <w:pPr>
              <w:jc w:val="left"/>
              <w:rPr>
                <w:lang w:val="en"/>
              </w:rPr>
            </w:pPr>
            <w:r w:rsidRPr="2368F44F">
              <w:rPr>
                <w:lang w:val="en"/>
              </w:rPr>
              <w:t>Siloed opportunities for energy improvements by product type</w:t>
            </w:r>
          </w:p>
        </w:tc>
        <w:tc>
          <w:tcPr>
            <w:tcW w:w="1749" w:type="pct"/>
          </w:tcPr>
          <w:p w14:paraId="641758D4" w14:textId="2FCA31C4" w:rsidR="00DB03C9" w:rsidRPr="00B23F9A" w:rsidRDefault="175AA677" w:rsidP="00903E41">
            <w:pPr>
              <w:pStyle w:val="ListParagraph"/>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C33BC46">
              <w:rPr>
                <w:rFonts w:eastAsia="Arial" w:cs="Arial"/>
                <w:lang w:val="en"/>
              </w:rPr>
              <w:t>Program miss</w:t>
            </w:r>
            <w:r w:rsidRPr="0C33BC46">
              <w:rPr>
                <w:rFonts w:eastAsia="Arial" w:cs="Arial"/>
                <w:szCs w:val="18"/>
                <w:lang w:val="en"/>
              </w:rPr>
              <w:t>es</w:t>
            </w:r>
            <w:r w:rsidRPr="0C33BC46">
              <w:rPr>
                <w:rFonts w:eastAsia="Arial" w:cs="Arial"/>
                <w:lang w:val="en"/>
              </w:rPr>
              <w:t xml:space="preserve"> out on significant energy savings toward meeting goals</w:t>
            </w:r>
          </w:p>
        </w:tc>
        <w:tc>
          <w:tcPr>
            <w:tcW w:w="1749" w:type="pct"/>
          </w:tcPr>
          <w:p w14:paraId="6EB7AF21" w14:textId="09EFDE77" w:rsidR="00DB03C9" w:rsidRPr="00B23F9A" w:rsidRDefault="50775555" w:rsidP="301D3C5C">
            <w:pPr>
              <w:spacing w:before="0"/>
              <w:cnfStyle w:val="000000000000" w:firstRow="0" w:lastRow="0" w:firstColumn="0" w:lastColumn="0" w:oddVBand="0" w:evenVBand="0" w:oddHBand="0" w:evenHBand="0" w:firstRowFirstColumn="0" w:firstRowLastColumn="0" w:lastRowFirstColumn="0" w:lastRowLastColumn="0"/>
              <w:rPr>
                <w:lang w:val="en"/>
              </w:rPr>
            </w:pPr>
            <w:r w:rsidRPr="301D3C5C">
              <w:rPr>
                <w:lang w:val="en"/>
              </w:rPr>
              <w:t>Conduct innovative technical analysis both in field and remotely to identify participants and opportunities</w:t>
            </w:r>
          </w:p>
        </w:tc>
      </w:tr>
      <w:tr w:rsidR="00DB03C9" w:rsidRPr="0075378D" w14:paraId="5D9E946A" w14:textId="77777777" w:rsidTr="0C33BC46">
        <w:trPr>
          <w:trHeight w:val="288"/>
        </w:trPr>
        <w:tc>
          <w:tcPr>
            <w:cnfStyle w:val="001000000000" w:firstRow="0" w:lastRow="0" w:firstColumn="1" w:lastColumn="0" w:oddVBand="0" w:evenVBand="0" w:oddHBand="0" w:evenHBand="0" w:firstRowFirstColumn="0" w:firstRowLastColumn="0" w:lastRowFirstColumn="0" w:lastRowLastColumn="0"/>
            <w:tcW w:w="1502" w:type="pct"/>
            <w:shd w:val="clear" w:color="auto" w:fill="D9D9D9" w:themeFill="background2" w:themeFillShade="D9"/>
          </w:tcPr>
          <w:p w14:paraId="33DCB28D" w14:textId="25CFCD38" w:rsidR="00DB03C9" w:rsidRPr="00B23F9A" w:rsidRDefault="291B459F" w:rsidP="00DB03C9">
            <w:pPr>
              <w:jc w:val="left"/>
              <w:rPr>
                <w:lang w:val="en"/>
              </w:rPr>
            </w:pPr>
            <w:r w:rsidRPr="2368F44F">
              <w:rPr>
                <w:lang w:val="en"/>
              </w:rPr>
              <w:t>Lack of awareness of energy efficiency opportunities and value to business</w:t>
            </w:r>
          </w:p>
        </w:tc>
        <w:tc>
          <w:tcPr>
            <w:tcW w:w="1749" w:type="pct"/>
          </w:tcPr>
          <w:p w14:paraId="7852FE0D" w14:textId="57D72809" w:rsidR="00DB03C9" w:rsidRPr="007F72EF" w:rsidRDefault="656D8495" w:rsidP="00903E41">
            <w:pPr>
              <w:pStyle w:val="ListParagraph"/>
              <w:numPr>
                <w:ilvl w:val="0"/>
                <w:numId w:val="28"/>
              </w:numPr>
              <w:spacing w:before="0" w:line="276" w:lineRule="auto"/>
              <w:cnfStyle w:val="000000000000" w:firstRow="0" w:lastRow="0" w:firstColumn="0" w:lastColumn="0" w:oddVBand="0" w:evenVBand="0" w:oddHBand="0" w:evenHBand="0" w:firstRowFirstColumn="0" w:firstRowLastColumn="0" w:lastRowFirstColumn="0" w:lastRowLastColumn="0"/>
              <w:rPr>
                <w:rFonts w:eastAsia="Arial" w:cs="Arial"/>
                <w:lang w:val="en"/>
              </w:rPr>
            </w:pPr>
            <w:r w:rsidRPr="0C33BC46">
              <w:rPr>
                <w:rFonts w:eastAsia="Arial" w:cs="Arial"/>
                <w:lang w:val="en"/>
              </w:rPr>
              <w:t>Customers see no need to replace functioning equipment</w:t>
            </w:r>
          </w:p>
          <w:p w14:paraId="72E5FBD3" w14:textId="57D72809" w:rsidR="00DB03C9" w:rsidRPr="007F72EF" w:rsidRDefault="656D8495" w:rsidP="00903E41">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rFonts w:eastAsia="Arial" w:cs="Arial"/>
                <w:lang w:val="en"/>
              </w:rPr>
            </w:pPr>
            <w:r w:rsidRPr="007F72EF">
              <w:rPr>
                <w:rFonts w:eastAsia="Arial" w:cs="Arial"/>
                <w:lang w:val="en"/>
              </w:rPr>
              <w:t>Customers are not informed about the most efficient equipment available when the need to replace it is immediate. Some efficient equipment may have a longer delivery time that would affect customer operations</w:t>
            </w:r>
          </w:p>
        </w:tc>
        <w:tc>
          <w:tcPr>
            <w:tcW w:w="1749" w:type="pct"/>
          </w:tcPr>
          <w:p w14:paraId="7BFABFD7" w14:textId="09EFDE77" w:rsidR="00DB03C9" w:rsidRPr="00B23F9A" w:rsidRDefault="6DD43893" w:rsidP="301D3C5C">
            <w:pPr>
              <w:spacing w:before="0"/>
              <w:cnfStyle w:val="000000000000" w:firstRow="0" w:lastRow="0" w:firstColumn="0" w:lastColumn="0" w:oddVBand="0" w:evenVBand="0" w:oddHBand="0" w:evenHBand="0" w:firstRowFirstColumn="0" w:firstRowLastColumn="0" w:lastRowFirstColumn="0" w:lastRowLastColumn="0"/>
              <w:rPr>
                <w:lang w:val="en"/>
              </w:rPr>
            </w:pPr>
            <w:r w:rsidRPr="301D3C5C">
              <w:rPr>
                <w:lang w:val="en"/>
              </w:rPr>
              <w:t>Energy Advisors build awareness, trust, and engagement</w:t>
            </w:r>
          </w:p>
        </w:tc>
      </w:tr>
    </w:tbl>
    <w:p w14:paraId="27B08359" w14:textId="77777777" w:rsidR="00DB03C9" w:rsidRDefault="00DB03C9" w:rsidP="00DB03C9">
      <w:pPr>
        <w:rPr>
          <w:b/>
        </w:rPr>
      </w:pPr>
    </w:p>
    <w:p w14:paraId="39ABA2D5" w14:textId="77777777" w:rsidR="00DB03C9" w:rsidRPr="00CB08C4" w:rsidRDefault="00DB03C9" w:rsidP="00DB03C9">
      <w:pPr>
        <w:rPr>
          <w:b/>
        </w:rPr>
      </w:pPr>
      <w:r w:rsidRPr="43C16428">
        <w:rPr>
          <w:b/>
          <w:bCs/>
        </w:rPr>
        <w:t>Best Practices:</w:t>
      </w:r>
    </w:p>
    <w:bookmarkEnd w:id="32"/>
    <w:p w14:paraId="19CC9E0E" w14:textId="742829A3" w:rsidR="67C92C7D" w:rsidRDefault="3EAF081A">
      <w:r w:rsidRPr="004E6F3E">
        <w:t xml:space="preserve">The Program will promote a comprehensive approach to energy efficiency projects, available to qualifying customers through a range of outreach and marketing tactics. The program will work directly with customers to help identify, develop, and implement qualifying projects.    </w:t>
      </w:r>
    </w:p>
    <w:p w14:paraId="07F20003" w14:textId="50BF81DA" w:rsidR="67C92C7D" w:rsidRDefault="3EAF081A">
      <w:r w:rsidRPr="004E6F3E">
        <w:t>Components of implementation, include:</w:t>
      </w:r>
    </w:p>
    <w:p w14:paraId="01240958" w14:textId="71A831A8" w:rsidR="67C92C7D" w:rsidRPr="004E6F3E" w:rsidRDefault="3EAF081A" w:rsidP="004E6F3E">
      <w:pPr>
        <w:pStyle w:val="ListParagraph"/>
        <w:numPr>
          <w:ilvl w:val="0"/>
          <w:numId w:val="24"/>
        </w:numPr>
      </w:pPr>
      <w:r w:rsidRPr="004E6F3E">
        <w:t>Engaging industry partners across PG&amp;E’s service area to provide maximum customer value and increase the rate of customer participation</w:t>
      </w:r>
    </w:p>
    <w:p w14:paraId="67AAB730" w14:textId="42B627E4" w:rsidR="67C92C7D" w:rsidRPr="004E6F3E" w:rsidRDefault="3EAF081A" w:rsidP="004E6F3E">
      <w:pPr>
        <w:pStyle w:val="ListParagraph"/>
        <w:numPr>
          <w:ilvl w:val="0"/>
          <w:numId w:val="24"/>
        </w:numPr>
      </w:pPr>
      <w:r w:rsidRPr="004E6F3E">
        <w:t>Educating customers on energy efficiency opportunities and directing them to the program through direct interaction, and marketing activities and materials</w:t>
      </w:r>
    </w:p>
    <w:p w14:paraId="0E1DE443" w14:textId="59D1920E" w:rsidR="67C92C7D" w:rsidRPr="004E6F3E" w:rsidRDefault="3EAF081A" w:rsidP="004E6F3E">
      <w:pPr>
        <w:pStyle w:val="ListParagraph"/>
        <w:numPr>
          <w:ilvl w:val="0"/>
          <w:numId w:val="24"/>
        </w:numPr>
      </w:pPr>
      <w:r w:rsidRPr="004E6F3E">
        <w:t>Utilizing technical support to complete targeted facility assessments to aid in identification of potential opportunities</w:t>
      </w:r>
    </w:p>
    <w:p w14:paraId="766F9415" w14:textId="513C7099" w:rsidR="67C92C7D" w:rsidRPr="004E6F3E" w:rsidRDefault="3EAF081A" w:rsidP="004E6F3E">
      <w:pPr>
        <w:pStyle w:val="ListParagraph"/>
        <w:numPr>
          <w:ilvl w:val="0"/>
          <w:numId w:val="24"/>
        </w:numPr>
      </w:pPr>
      <w:r w:rsidRPr="004E6F3E">
        <w:t>Educating and developing an effective network of contractors, trade allies, and distributors to encourage energy efficient installation decisions among their customers</w:t>
      </w:r>
    </w:p>
    <w:p w14:paraId="537AE424" w14:textId="7E4D8D24" w:rsidR="67C92C7D" w:rsidRPr="004E6F3E" w:rsidRDefault="001F36AA" w:rsidP="004E6F3E">
      <w:pPr>
        <w:pStyle w:val="ListParagraph"/>
        <w:numPr>
          <w:ilvl w:val="0"/>
          <w:numId w:val="24"/>
        </w:numPr>
      </w:pPr>
      <w:r>
        <w:t>Providing an option for</w:t>
      </w:r>
      <w:r w:rsidR="3EAF081A">
        <w:t xml:space="preserve"> </w:t>
      </w:r>
      <w:r w:rsidR="3EAF081A" w:rsidRPr="004E6F3E">
        <w:t xml:space="preserve">customers </w:t>
      </w:r>
      <w:r>
        <w:t xml:space="preserve">to </w:t>
      </w:r>
      <w:r w:rsidR="3EAF081A" w:rsidRPr="004E6F3E">
        <w:t>complete on-line portal, program applications, or work with trade allies to complete on-line portal applications</w:t>
      </w:r>
    </w:p>
    <w:p w14:paraId="5192D300" w14:textId="6A8B04BE" w:rsidR="67C92C7D" w:rsidRPr="004E6F3E" w:rsidRDefault="3EAF081A" w:rsidP="004E6F3E">
      <w:pPr>
        <w:pStyle w:val="ListParagraph"/>
        <w:numPr>
          <w:ilvl w:val="0"/>
          <w:numId w:val="24"/>
        </w:numPr>
      </w:pPr>
      <w:r w:rsidRPr="004E6F3E">
        <w:t xml:space="preserve">Reviewing pending and completed project documentation to verify the applicant is an eligible customer operating within the </w:t>
      </w:r>
      <w:r w:rsidR="004100A9">
        <w:t>PG&amp;E</w:t>
      </w:r>
      <w:r w:rsidRPr="004E6F3E">
        <w:t xml:space="preserve"> service territory, and the completed project and installed equipment meets program eligibility requirements</w:t>
      </w:r>
    </w:p>
    <w:p w14:paraId="355BA363" w14:textId="347EAABD" w:rsidR="67C92C7D" w:rsidRPr="004E6F3E" w:rsidRDefault="3EAF081A" w:rsidP="004E6F3E">
      <w:pPr>
        <w:pStyle w:val="ListParagraph"/>
        <w:numPr>
          <w:ilvl w:val="0"/>
          <w:numId w:val="24"/>
        </w:numPr>
      </w:pPr>
      <w:r w:rsidRPr="004E6F3E">
        <w:t>For applicable project types, working with customers to confirm project pre-approval via email, before contracting for, ordering or installing energy efficiency equipment and/or services</w:t>
      </w:r>
    </w:p>
    <w:p w14:paraId="26C6C973" w14:textId="28702CB5" w:rsidR="67C92C7D" w:rsidRPr="004E6F3E" w:rsidRDefault="3EAF081A" w:rsidP="004E6F3E">
      <w:pPr>
        <w:pStyle w:val="ListParagraph"/>
        <w:numPr>
          <w:ilvl w:val="0"/>
          <w:numId w:val="24"/>
        </w:numPr>
      </w:pPr>
      <w:r w:rsidRPr="004E6F3E">
        <w:t>Processing completed applications and issuing rebates for qualified projects/equipment</w:t>
      </w:r>
    </w:p>
    <w:p w14:paraId="49F32302" w14:textId="3774C54C" w:rsidR="67C92C7D" w:rsidRPr="004E6F3E" w:rsidRDefault="3EAF081A" w:rsidP="004E6F3E">
      <w:pPr>
        <w:pStyle w:val="ListParagraph"/>
        <w:numPr>
          <w:ilvl w:val="0"/>
          <w:numId w:val="24"/>
        </w:numPr>
      </w:pPr>
      <w:r w:rsidRPr="004E6F3E">
        <w:t>Verifying completed equipment installation for a sample of participants to confirm program integrity as a part of M&amp;V efforts.</w:t>
      </w:r>
    </w:p>
    <w:p w14:paraId="6FEEF3AF" w14:textId="616269EE" w:rsidR="00DB03C9" w:rsidRPr="004E6F3E" w:rsidRDefault="3EAF081A" w:rsidP="00DB03C9">
      <w:r w:rsidRPr="24A00BF3">
        <w:rPr>
          <w:rFonts w:eastAsia="Arial" w:cs="Arial"/>
          <w:b/>
          <w:bCs/>
          <w:sz w:val="20"/>
          <w:szCs w:val="20"/>
          <w:lang w:val="en"/>
        </w:rPr>
        <w:t xml:space="preserve"> </w:t>
      </w:r>
    </w:p>
    <w:p w14:paraId="33C3A7DE" w14:textId="4625AFC6" w:rsidR="00DB03C9" w:rsidRPr="000367EF" w:rsidRDefault="00DB03C9" w:rsidP="00895E40">
      <w:pPr>
        <w:rPr>
          <w:b/>
        </w:rPr>
      </w:pPr>
      <w:bookmarkStart w:id="33" w:name="_Toc57653959"/>
      <w:bookmarkStart w:id="34" w:name="_Toc8227878"/>
      <w:r w:rsidRPr="43C16428">
        <w:rPr>
          <w:rStyle w:val="Heading2Char"/>
          <w:sz w:val="24"/>
          <w:szCs w:val="24"/>
        </w:rPr>
        <w:t xml:space="preserve">4. </w:t>
      </w:r>
      <w:r w:rsidR="00895E40" w:rsidRPr="43C16428">
        <w:rPr>
          <w:rStyle w:val="Heading2Char"/>
          <w:sz w:val="24"/>
          <w:szCs w:val="24"/>
        </w:rPr>
        <w:t>Innovation</w:t>
      </w:r>
      <w:bookmarkEnd w:id="33"/>
      <w:r w:rsidR="00895E40" w:rsidRPr="43C16428">
        <w:rPr>
          <w:rStyle w:val="Heading2Char"/>
          <w:sz w:val="24"/>
          <w:szCs w:val="24"/>
        </w:rPr>
        <w:t xml:space="preserve"> </w:t>
      </w:r>
      <w:bookmarkEnd w:id="34"/>
    </w:p>
    <w:p w14:paraId="4D91BA4C" w14:textId="50A17C1F" w:rsidR="3D555492" w:rsidRDefault="269AAAA1">
      <w:r w:rsidRPr="004E6F3E">
        <w:t xml:space="preserve">The </w:t>
      </w:r>
      <w:r w:rsidR="00690BEF">
        <w:t>P</w:t>
      </w:r>
      <w:r w:rsidRPr="004E6F3E">
        <w:t>rogram’s design represents a</w:t>
      </w:r>
      <w:r w:rsidR="00B9724F">
        <w:t>n industrial</w:t>
      </w:r>
      <w:r>
        <w:t xml:space="preserve"> </w:t>
      </w:r>
      <w:r w:rsidRPr="004E6F3E">
        <w:t xml:space="preserve">delivery evolution that leverages the most innovative features proven to effectively serve this market while introducing new strategies supported by rigorous analysis. Our innovations will result in a more cost-effective program that accelerates advancement towards the PG&amp;E and statewide goals of doubling EE savings in the </w:t>
      </w:r>
      <w:r w:rsidR="00B9724F">
        <w:t>industrial</w:t>
      </w:r>
      <w:r w:rsidRPr="004E6F3E">
        <w:t xml:space="preserve"> segment. This design will directly benefit PG&amp;E customers – driving higher participation rates, increased satisfaction, and deeper engagement to ensure continuous improvement and savings persistence.  </w:t>
      </w:r>
    </w:p>
    <w:p w14:paraId="53A5F7CE" w14:textId="1538138B" w:rsidR="3D555492" w:rsidRPr="004E6F3E" w:rsidRDefault="269AAAA1">
      <w:pPr>
        <w:rPr>
          <w:b/>
        </w:rPr>
      </w:pPr>
      <w:r w:rsidRPr="004E6F3E">
        <w:rPr>
          <w:b/>
        </w:rPr>
        <w:t>Increased Participation</w:t>
      </w:r>
    </w:p>
    <w:p w14:paraId="286293DD" w14:textId="7C853BA0" w:rsidR="3D555492" w:rsidRDefault="269AAAA1">
      <w:r w:rsidRPr="004E6F3E">
        <w:t xml:space="preserve">Statewide savings goals cannot be achieved simply by continuing to serve </w:t>
      </w:r>
      <w:r w:rsidR="006A6930">
        <w:t>industrial</w:t>
      </w:r>
      <w:r w:rsidRPr="004E6F3E">
        <w:t xml:space="preserve"> customers who have been energy leaders over the past decade. Reaching currently untapped customers and savings opportunities cost-effectively requires targeted engagement supported by clear, customized value propositions for each facility’s decision-makers. </w:t>
      </w:r>
      <w:r w:rsidR="009366F8">
        <w:t>The Program</w:t>
      </w:r>
      <w:r w:rsidRPr="004E6F3E">
        <w:t xml:space="preserve"> will thoughtfully align customer outreach with recommendations for best-fit </w:t>
      </w:r>
      <w:r w:rsidR="009366F8">
        <w:t>energy efficiency options</w:t>
      </w:r>
      <w:r w:rsidRPr="004E6F3E">
        <w:t xml:space="preserve">, personalizing communication with energy insights that include, but are not limited to: </w:t>
      </w:r>
    </w:p>
    <w:p w14:paraId="2F3532C2" w14:textId="4FC39610" w:rsidR="3D555492" w:rsidRPr="004E6F3E" w:rsidRDefault="269AAAA1" w:rsidP="004E6F3E">
      <w:pPr>
        <w:pStyle w:val="ListParagraph"/>
        <w:numPr>
          <w:ilvl w:val="0"/>
          <w:numId w:val="24"/>
        </w:numPr>
      </w:pPr>
      <w:r w:rsidRPr="004E6F3E">
        <w:t>Business type</w:t>
      </w:r>
    </w:p>
    <w:p w14:paraId="1F3FC095" w14:textId="5AD1BCDB" w:rsidR="3D555492" w:rsidRPr="004E6F3E" w:rsidRDefault="269AAAA1" w:rsidP="004E6F3E">
      <w:pPr>
        <w:pStyle w:val="ListParagraph"/>
        <w:numPr>
          <w:ilvl w:val="0"/>
          <w:numId w:val="24"/>
        </w:numPr>
      </w:pPr>
      <w:r w:rsidRPr="004E6F3E">
        <w:t>Peak demand and load factor</w:t>
      </w:r>
    </w:p>
    <w:p w14:paraId="28043DB3" w14:textId="7815D664" w:rsidR="3D555492" w:rsidRPr="004E6F3E" w:rsidRDefault="269AAAA1" w:rsidP="004E6F3E">
      <w:pPr>
        <w:pStyle w:val="ListParagraph"/>
        <w:numPr>
          <w:ilvl w:val="0"/>
          <w:numId w:val="24"/>
        </w:numPr>
      </w:pPr>
      <w:r w:rsidRPr="004E6F3E">
        <w:t>Propensity to act or participate in programs</w:t>
      </w:r>
    </w:p>
    <w:p w14:paraId="29200E07" w14:textId="6BF21AE8" w:rsidR="3D555492" w:rsidRDefault="269AAAA1">
      <w:r w:rsidRPr="004E6F3E">
        <w:t xml:space="preserve">We can then match each customer with the right solutions for their business, maximizing participation and project completion. </w:t>
      </w:r>
    </w:p>
    <w:p w14:paraId="00B19C17" w14:textId="1BD199AD" w:rsidR="3D555492" w:rsidRPr="004E6F3E" w:rsidRDefault="269AAAA1">
      <w:pPr>
        <w:rPr>
          <w:b/>
        </w:rPr>
      </w:pPr>
      <w:r w:rsidRPr="004E6F3E">
        <w:rPr>
          <w:b/>
        </w:rPr>
        <w:t>Deep, Persistent Savings</w:t>
      </w:r>
    </w:p>
    <w:p w14:paraId="725C712A" w14:textId="77777777" w:rsidR="00B604D5" w:rsidRDefault="269AAAA1">
      <w:r w:rsidRPr="004E6F3E">
        <w:t xml:space="preserve">Our targeting approach and use of monitoring and feedback on project results will drive deeper, persistent savings from the industrial sector. Research on program effectiveness consistently demonstrates how analytical targeting can significantly improve program performance. </w:t>
      </w:r>
    </w:p>
    <w:p w14:paraId="541A042C" w14:textId="77777777" w:rsidR="00B604D5" w:rsidRPr="00B604D5" w:rsidRDefault="269AAAA1">
      <w:pPr>
        <w:rPr>
          <w:b/>
          <w:bCs/>
        </w:rPr>
      </w:pPr>
      <w:r w:rsidRPr="00B604D5">
        <w:rPr>
          <w:b/>
          <w:bCs/>
        </w:rPr>
        <w:t>Analytical Targeting</w:t>
      </w:r>
    </w:p>
    <w:p w14:paraId="0DCDCD4C" w14:textId="2D199FD8" w:rsidR="3D555492" w:rsidRDefault="269AAAA1">
      <w:r w:rsidRPr="004E6F3E">
        <w:t xml:space="preserve">CLEAResult was one of the first firms to pilot analytical targeting with PG&amp;E during the analytics enabled RCx program pilots of 2013-15. While changing rules related to RCx prevented the continuation and scale-up of those programs, our experience </w:t>
      </w:r>
      <w:r w:rsidRPr="004E6F3E">
        <w:lastRenderedPageBreak/>
        <w:t xml:space="preserve">and evidence for the potential impact of targeted approaches has directly informed </w:t>
      </w:r>
      <w:r w:rsidR="00A52E99">
        <w:t>the</w:t>
      </w:r>
      <w:r>
        <w:t xml:space="preserve"> </w:t>
      </w:r>
      <w:r w:rsidRPr="004E6F3E">
        <w:t xml:space="preserve">Program design. Key learnings we have drawn on include: </w:t>
      </w:r>
    </w:p>
    <w:p w14:paraId="6F524BF6" w14:textId="6921129A" w:rsidR="3D555492" w:rsidRPr="004E6F3E" w:rsidRDefault="269AAAA1" w:rsidP="004E6F3E">
      <w:pPr>
        <w:pStyle w:val="ListParagraph"/>
        <w:numPr>
          <w:ilvl w:val="0"/>
          <w:numId w:val="24"/>
        </w:numPr>
      </w:pPr>
      <w:r w:rsidRPr="004E6F3E">
        <w:t>Remote analytics provide a good indication of the site savings potential,</w:t>
      </w:r>
    </w:p>
    <w:p w14:paraId="0D49D527" w14:textId="3B44C398" w:rsidR="3D555492" w:rsidRPr="004E6F3E" w:rsidRDefault="269AAAA1" w:rsidP="004E6F3E">
      <w:pPr>
        <w:pStyle w:val="ListParagraph"/>
        <w:numPr>
          <w:ilvl w:val="0"/>
          <w:numId w:val="24"/>
        </w:numPr>
      </w:pPr>
      <w:r w:rsidRPr="004E6F3E">
        <w:t>Specific solutions for delivering on that potential must be determined with additional information collected on-site</w:t>
      </w:r>
    </w:p>
    <w:p w14:paraId="3C1BFD26" w14:textId="5EC3498D" w:rsidR="3D555492" w:rsidRPr="004E6F3E" w:rsidRDefault="269AAAA1" w:rsidP="004E6F3E">
      <w:pPr>
        <w:pStyle w:val="ListParagraph"/>
        <w:numPr>
          <w:ilvl w:val="0"/>
          <w:numId w:val="24"/>
        </w:numPr>
      </w:pPr>
      <w:r w:rsidRPr="004E6F3E">
        <w:t>Relative comparisons of site savings potential are valuable in reducing effort that would otherwise be spent screening sites with limited savings potential</w:t>
      </w:r>
    </w:p>
    <w:p w14:paraId="2874956F" w14:textId="0EEE05F8" w:rsidR="3D555492" w:rsidRPr="004E6F3E" w:rsidRDefault="269AAAA1" w:rsidP="004E6F3E">
      <w:pPr>
        <w:pStyle w:val="ListParagraph"/>
        <w:numPr>
          <w:ilvl w:val="0"/>
          <w:numId w:val="24"/>
        </w:numPr>
      </w:pPr>
      <w:r w:rsidRPr="004E6F3E">
        <w:t>Site decision-makers’ commitment to a project is a key indicator of success, and that commitment can be bolstered by early, analytics-driven assessment of potential</w:t>
      </w:r>
    </w:p>
    <w:p w14:paraId="127A28D6" w14:textId="69B4EB61" w:rsidR="3D555492" w:rsidRDefault="269AAAA1">
      <w:r w:rsidRPr="004E6F3E">
        <w:t xml:space="preserve">Based on research conducted, analytical targeting, and our own experience piloting this approach, CLEAResult has a deep understanding of what use analytics can realistically deliver in this market. Our central approach relies on precision-based targeting and outreach, leveraging existing data sources and our innovative benchmarking approach to identify the highest-value targets across a broad range of energy management opportunities, with facility-specific analytics used to transform customer interactions into personalized engagements. While it can deliver increased savings per project and help secure upfront commitment, it cannot replace on-site audits or the strong customer support needed to move a project from concept to reality. </w:t>
      </w:r>
    </w:p>
    <w:p w14:paraId="0861565A" w14:textId="47EF5FC0" w:rsidR="3D555492" w:rsidRPr="004E6F3E" w:rsidRDefault="269AAAA1">
      <w:pPr>
        <w:rPr>
          <w:b/>
        </w:rPr>
      </w:pPr>
      <w:r w:rsidRPr="004E6F3E">
        <w:rPr>
          <w:b/>
        </w:rPr>
        <w:t xml:space="preserve">Financing </w:t>
      </w:r>
    </w:p>
    <w:p w14:paraId="00F5B648" w14:textId="663CCC07" w:rsidR="3D555492" w:rsidRDefault="269AAAA1">
      <w:r w:rsidRPr="004E6F3E">
        <w:t xml:space="preserve">Integrated financing will further drive program success. OBF will remain the most attractive finance offering for many customers and will be promoted heavily through the Program. However, we know that for other customers and for program allies, the true upfront capital offered through our relationships with energy efficiency lenders will enable larger projects with deeper savings. OBF loan funds are not available until after project installation, verification and approvals. In some cases, this occurs up to a year after the customer requires initial project funding. Private access to capital can fill that gap to provide a cash flow neutral or positive position for the customer throughout the project lifecycle, unlocking currently untapped savings from the industrial segment. </w:t>
      </w:r>
    </w:p>
    <w:p w14:paraId="350F5963" w14:textId="465D4D38" w:rsidR="3D555492" w:rsidRPr="004E6F3E" w:rsidRDefault="269AAAA1">
      <w:pPr>
        <w:rPr>
          <w:b/>
        </w:rPr>
      </w:pPr>
      <w:r w:rsidRPr="004E6F3E">
        <w:rPr>
          <w:b/>
        </w:rPr>
        <w:t>Monitoring and Feedback</w:t>
      </w:r>
    </w:p>
    <w:p w14:paraId="073B0E03" w14:textId="72232594" w:rsidR="3D555492" w:rsidRDefault="269AAAA1">
      <w:r w:rsidRPr="004E6F3E">
        <w:t>The Program will ensure projects perform according to initial estimates and deliver deep savings through monitoring and feedback mechanisms. The ability to measure and share results is frequently cited as a factor in customer satisfaction surveys. The Program builds on our success, incorporating post-implementation feedback to motivate continuous improvement whenever possible.</w:t>
      </w:r>
    </w:p>
    <w:p w14:paraId="73C87CBA" w14:textId="148F702B" w:rsidR="3D555492" w:rsidRPr="004E6F3E" w:rsidRDefault="269AAAA1">
      <w:pPr>
        <w:rPr>
          <w:b/>
        </w:rPr>
      </w:pPr>
      <w:r w:rsidRPr="004E6F3E">
        <w:rPr>
          <w:b/>
        </w:rPr>
        <w:t>Streamlined Delivery</w:t>
      </w:r>
    </w:p>
    <w:p w14:paraId="4C7A2287" w14:textId="5B0AF118" w:rsidR="3D555492" w:rsidRDefault="269AAAA1">
      <w:r w:rsidRPr="004E6F3E">
        <w:t xml:space="preserve">To further accelerate </w:t>
      </w:r>
      <w:r w:rsidR="006A0990">
        <w:t>energy efficiency</w:t>
      </w:r>
      <w:r w:rsidRPr="004E6F3E">
        <w:t xml:space="preserve"> progress beyond deemed and custom savings, </w:t>
      </w:r>
      <w:r w:rsidR="006A0990">
        <w:t>the</w:t>
      </w:r>
      <w:r w:rsidRPr="004E6F3E">
        <w:t xml:space="preserve"> Program will streamline delivery through our customer- and program-ally-facing portals </w:t>
      </w:r>
      <w:r w:rsidR="006A0990">
        <w:t>options</w:t>
      </w:r>
      <w:r w:rsidRPr="004E6F3E">
        <w:t>.</w:t>
      </w:r>
    </w:p>
    <w:p w14:paraId="74BE1FB3" w14:textId="53D41B38" w:rsidR="43C16428" w:rsidRDefault="269AAAA1" w:rsidP="43C16428">
      <w:r w:rsidRPr="004E6F3E">
        <w:t xml:space="preserve">CLEAResult has been developing and refining our Salesforce-enabled platform, continually reducing time and effort required to expend on each project. Our platform accomplishes this through automation, role-specific workflows, and consistent data capture for clear and complete reporting. With the integrated finance options and project performance feedback offered through the Program, our platform can now serve as a centralized source for customers to meet all energy management needs. </w:t>
      </w:r>
    </w:p>
    <w:p w14:paraId="1F5857B0" w14:textId="77777777" w:rsidR="00DB03C9" w:rsidRPr="004E6F3E" w:rsidRDefault="00DB03C9" w:rsidP="00DB03C9"/>
    <w:p w14:paraId="1B28D0E2" w14:textId="68977235" w:rsidR="00DB03C9" w:rsidRPr="00D87623" w:rsidRDefault="00DB03C9" w:rsidP="00DB03C9">
      <w:pPr>
        <w:rPr>
          <w:b/>
        </w:rPr>
      </w:pPr>
      <w:bookmarkStart w:id="35" w:name="_Toc8227879"/>
      <w:bookmarkStart w:id="36" w:name="_Toc57653960"/>
      <w:r w:rsidRPr="00D56CCD">
        <w:rPr>
          <w:rStyle w:val="Heading2Char"/>
          <w:sz w:val="24"/>
          <w:szCs w:val="24"/>
        </w:rPr>
        <w:t xml:space="preserve">5. </w:t>
      </w:r>
      <w:bookmarkEnd w:id="35"/>
      <w:r w:rsidR="000447D3">
        <w:rPr>
          <w:rStyle w:val="Heading2Char"/>
          <w:sz w:val="24"/>
          <w:szCs w:val="24"/>
        </w:rPr>
        <w:t>Metrics</w:t>
      </w:r>
      <w:bookmarkEnd w:id="36"/>
      <w:r w:rsidRPr="00D56CCD">
        <w:rPr>
          <w:b/>
          <w:sz w:val="24"/>
          <w:szCs w:val="24"/>
        </w:rPr>
        <w:t>:</w:t>
      </w:r>
      <w:r w:rsidRPr="00D87623">
        <w:rPr>
          <w:b/>
        </w:rPr>
        <w:t xml:space="preserve"> </w:t>
      </w:r>
    </w:p>
    <w:p w14:paraId="07E22EB2" w14:textId="2A841F60" w:rsidR="00DB03C9" w:rsidRDefault="008F4AC6" w:rsidP="00DB03C9">
      <w:r>
        <w:t>As defined in</w:t>
      </w:r>
      <w:r w:rsidR="000A7801">
        <w:t xml:space="preserve"> </w:t>
      </w:r>
      <w:r w:rsidR="00EA2996">
        <w:t>A</w:t>
      </w:r>
      <w:r w:rsidR="000A7801">
        <w:t xml:space="preserve">ttachment 2 </w:t>
      </w:r>
      <w:r w:rsidR="00EA2996">
        <w:t>Narrative</w:t>
      </w:r>
      <w:r w:rsidR="006A3723">
        <w:t>, the program will track and report on the following:</w:t>
      </w:r>
    </w:p>
    <w:p w14:paraId="2CDE5050" w14:textId="17F91C32" w:rsidR="00CE051B" w:rsidRDefault="00CE051B" w:rsidP="00903E41">
      <w:pPr>
        <w:pStyle w:val="ListParagraph"/>
        <w:numPr>
          <w:ilvl w:val="0"/>
          <w:numId w:val="26"/>
        </w:numPr>
      </w:pPr>
      <w:r>
        <w:t>First year annualized and lifecycle ex-ante</w:t>
      </w:r>
      <w:r w:rsidR="004A56CF">
        <w:t xml:space="preserve"> (pre-evaluation) gas, electric, and demand savings (gross and net)</w:t>
      </w:r>
    </w:p>
    <w:p w14:paraId="0B457F28" w14:textId="3541F9AB" w:rsidR="001705E2" w:rsidRDefault="001705E2" w:rsidP="00903E41">
      <w:pPr>
        <w:pStyle w:val="ListParagraph"/>
        <w:numPr>
          <w:ilvl w:val="0"/>
          <w:numId w:val="26"/>
        </w:numPr>
      </w:pPr>
      <w:r>
        <w:t>Greenhouse gas</w:t>
      </w:r>
      <w:r w:rsidR="00D227E7">
        <w:t xml:space="preserve"> reductions</w:t>
      </w:r>
      <w:r>
        <w:t xml:space="preserve"> reported on an annual basis</w:t>
      </w:r>
    </w:p>
    <w:p w14:paraId="6B06B796" w14:textId="5FA00F07" w:rsidR="00AA43A6" w:rsidRDefault="00AA43A6" w:rsidP="00903E41">
      <w:pPr>
        <w:pStyle w:val="ListParagraph"/>
        <w:numPr>
          <w:ilvl w:val="0"/>
          <w:numId w:val="26"/>
        </w:numPr>
      </w:pPr>
      <w:r>
        <w:t xml:space="preserve">Levelized cost of energy </w:t>
      </w:r>
      <w:r w:rsidR="0075209C">
        <w:t xml:space="preserve">efficiency per kWh, therm, and kW (use both Total </w:t>
      </w:r>
      <w:r w:rsidR="001F41EA">
        <w:t>Resource</w:t>
      </w:r>
      <w:r w:rsidR="0075209C">
        <w:t xml:space="preserve"> Cost and Program</w:t>
      </w:r>
      <w:r w:rsidR="001F41EA">
        <w:t xml:space="preserve"> Administrative Cost)</w:t>
      </w:r>
    </w:p>
    <w:p w14:paraId="3C562E60" w14:textId="516042C2" w:rsidR="00BB34CC" w:rsidRPr="00BB34CC" w:rsidRDefault="006B2196" w:rsidP="00BB34CC">
      <w:pPr>
        <w:pStyle w:val="ListParagraph"/>
        <w:numPr>
          <w:ilvl w:val="0"/>
          <w:numId w:val="26"/>
        </w:numPr>
      </w:pPr>
      <w:r>
        <w:t>Percent r</w:t>
      </w:r>
      <w:r w:rsidR="001F41EA">
        <w:t xml:space="preserve">eduction in </w:t>
      </w:r>
      <w:r w:rsidR="007D373A">
        <w:t>consumption</w:t>
      </w:r>
    </w:p>
    <w:p w14:paraId="0E58634F" w14:textId="014CF283" w:rsidR="00E27AC5" w:rsidRDefault="005B0B43" w:rsidP="00632D61">
      <w:r>
        <w:t xml:space="preserve">Additionally, the Program </w:t>
      </w:r>
      <w:r w:rsidR="00E31BC3">
        <w:t xml:space="preserve">will track and report on </w:t>
      </w:r>
      <w:r w:rsidR="00FC7526">
        <w:t xml:space="preserve">key performance indicators </w:t>
      </w:r>
      <w:r w:rsidR="00E864E0">
        <w:t>fo</w:t>
      </w:r>
      <w:r w:rsidR="00193421">
        <w:t xml:space="preserve">cused on program operations, </w:t>
      </w:r>
      <w:r w:rsidR="00E27AC5">
        <w:t>non-resource objectives, and customer satisfaction</w:t>
      </w:r>
      <w:r w:rsidR="00632D61">
        <w:t>.</w:t>
      </w:r>
    </w:p>
    <w:p w14:paraId="4BF42BD1" w14:textId="041731B1" w:rsidR="005B0B43" w:rsidRPr="00D87623" w:rsidRDefault="005B0B43" w:rsidP="00DB03C9"/>
    <w:p w14:paraId="74F427FA" w14:textId="0E21CE5D" w:rsidR="00C71F03" w:rsidRDefault="00DB03C9" w:rsidP="00C71F03">
      <w:pPr>
        <w:rPr>
          <w:b/>
        </w:rPr>
      </w:pPr>
      <w:bookmarkStart w:id="37" w:name="_Toc57653961"/>
      <w:r w:rsidRPr="00D56CCD">
        <w:rPr>
          <w:rStyle w:val="Heading2Char"/>
          <w:sz w:val="24"/>
          <w:szCs w:val="24"/>
        </w:rPr>
        <w:lastRenderedPageBreak/>
        <w:t xml:space="preserve">6. </w:t>
      </w:r>
      <w:r w:rsidR="001E5847">
        <w:rPr>
          <w:rStyle w:val="Heading2Char"/>
          <w:sz w:val="24"/>
          <w:szCs w:val="24"/>
        </w:rPr>
        <w:t>For programs claiming to-code savings</w:t>
      </w:r>
      <w:bookmarkEnd w:id="37"/>
      <w:r w:rsidRPr="00D56CCD">
        <w:rPr>
          <w:b/>
          <w:sz w:val="24"/>
          <w:szCs w:val="24"/>
        </w:rPr>
        <w:t>:</w:t>
      </w:r>
      <w:r w:rsidRPr="00D87623">
        <w:rPr>
          <w:b/>
        </w:rPr>
        <w:t xml:space="preserve"> </w:t>
      </w:r>
    </w:p>
    <w:p w14:paraId="52C9DF2A" w14:textId="77777777" w:rsidR="00C71F03" w:rsidRPr="00D97923" w:rsidRDefault="00C71F03" w:rsidP="00D97923">
      <w:pPr>
        <w:rPr>
          <w:b/>
        </w:rPr>
      </w:pPr>
    </w:p>
    <w:p w14:paraId="47D877A6" w14:textId="4BD3FC90" w:rsidR="001E5847" w:rsidRPr="00D97923" w:rsidRDefault="0039020F" w:rsidP="00D97923">
      <w:r w:rsidRPr="00D97923">
        <w:t xml:space="preserve">The to-code savings potential mainly resides in </w:t>
      </w:r>
      <w:r w:rsidR="00C35543" w:rsidRPr="00D97923">
        <w:t xml:space="preserve">the </w:t>
      </w:r>
      <w:r w:rsidR="00FB7A58" w:rsidRPr="00D97923">
        <w:t>addition</w:t>
      </w:r>
      <w:r w:rsidR="00C35543" w:rsidRPr="00D97923">
        <w:t xml:space="preserve"> </w:t>
      </w:r>
      <w:r w:rsidR="00FB7A58" w:rsidRPr="00D97923">
        <w:t>o</w:t>
      </w:r>
      <w:r w:rsidR="00C35543" w:rsidRPr="00D97923">
        <w:t>f controls within the</w:t>
      </w:r>
      <w:r w:rsidRPr="00D97923">
        <w:t xml:space="preserve"> industrial energy efficiency measures in the Program as </w:t>
      </w:r>
      <w:r w:rsidR="00A40BC3" w:rsidRPr="00D97923">
        <w:t>many</w:t>
      </w:r>
      <w:r w:rsidRPr="00D97923">
        <w:t xml:space="preserve"> industrial customers install </w:t>
      </w:r>
      <w:r w:rsidR="00025B13" w:rsidRPr="00D97923">
        <w:t xml:space="preserve">new </w:t>
      </w:r>
      <w:r w:rsidRPr="00D97923">
        <w:t xml:space="preserve">equipment without code compliant controls due to financial restrictions and </w:t>
      </w:r>
      <w:r w:rsidR="00025B13" w:rsidRPr="00D97923">
        <w:t xml:space="preserve">being </w:t>
      </w:r>
      <w:r w:rsidR="007F5024" w:rsidRPr="00D97923">
        <w:t xml:space="preserve">unaware </w:t>
      </w:r>
      <w:r w:rsidRPr="00D97923">
        <w:t xml:space="preserve">of </w:t>
      </w:r>
      <w:r w:rsidR="007F5024" w:rsidRPr="00D97923">
        <w:t xml:space="preserve">potential </w:t>
      </w:r>
      <w:r w:rsidRPr="00D97923">
        <w:t>energy efficiency benefits.</w:t>
      </w:r>
    </w:p>
    <w:p w14:paraId="667874BD" w14:textId="27100121" w:rsidR="00B822E1" w:rsidRPr="00D97923" w:rsidRDefault="00B822E1" w:rsidP="001E5847">
      <w:pPr>
        <w:rPr>
          <w:bCs/>
        </w:rPr>
      </w:pPr>
      <w:r w:rsidRPr="00D97923">
        <w:rPr>
          <w:bCs/>
        </w:rPr>
        <w:t xml:space="preserve">Since the </w:t>
      </w:r>
      <w:r w:rsidR="00457B7D" w:rsidRPr="00D97923">
        <w:rPr>
          <w:bCs/>
        </w:rPr>
        <w:t>c</w:t>
      </w:r>
      <w:r w:rsidRPr="00D97923">
        <w:rPr>
          <w:bCs/>
        </w:rPr>
        <w:t>ustomers are industrial facilities and their energy usage is mostly process dependent, the to-code potential is available in all modulating industrial process load applications. However, the measures will be cost-effective depending upon equipment loading, existing efficiency and hours of operation. There may be a smaller percentage of weather dependent measures, which will be more cost-effective in hotter climate zones.</w:t>
      </w:r>
    </w:p>
    <w:p w14:paraId="0F6CC7A4" w14:textId="27100121" w:rsidR="007E3CF6" w:rsidRPr="00D97923" w:rsidRDefault="007E3CF6" w:rsidP="007E3CF6">
      <w:r w:rsidRPr="00D97923">
        <w:t>The typical barrier that prevent code-compliant equipment replacements are:</w:t>
      </w:r>
    </w:p>
    <w:p w14:paraId="5B338A69" w14:textId="27100121" w:rsidR="007E3CF6" w:rsidRPr="0039395D" w:rsidRDefault="007E3CF6" w:rsidP="0039395D">
      <w:pPr>
        <w:pStyle w:val="ListParagraph"/>
        <w:numPr>
          <w:ilvl w:val="0"/>
          <w:numId w:val="26"/>
        </w:numPr>
      </w:pPr>
      <w:r w:rsidRPr="0039395D">
        <w:t>Lower initial capital costs</w:t>
      </w:r>
    </w:p>
    <w:p w14:paraId="6351C1F2" w14:textId="27100121" w:rsidR="007E3CF6" w:rsidRPr="0039395D" w:rsidRDefault="007E3CF6" w:rsidP="0039395D">
      <w:pPr>
        <w:pStyle w:val="ListParagraph"/>
        <w:numPr>
          <w:ilvl w:val="0"/>
          <w:numId w:val="26"/>
        </w:numPr>
      </w:pPr>
      <w:r w:rsidRPr="0039395D">
        <w:t>Unaware of utility program incentives</w:t>
      </w:r>
    </w:p>
    <w:p w14:paraId="528A5F04" w14:textId="27100121" w:rsidR="007E3CF6" w:rsidRPr="0039395D" w:rsidRDefault="007E3CF6" w:rsidP="0039395D">
      <w:pPr>
        <w:pStyle w:val="ListParagraph"/>
        <w:numPr>
          <w:ilvl w:val="0"/>
          <w:numId w:val="26"/>
        </w:numPr>
      </w:pPr>
      <w:r w:rsidRPr="0039395D">
        <w:t>Unaware of code requirements</w:t>
      </w:r>
    </w:p>
    <w:p w14:paraId="216C1132" w14:textId="27100121" w:rsidR="007E3CF6" w:rsidRPr="0039395D" w:rsidRDefault="007E3CF6" w:rsidP="0039395D">
      <w:pPr>
        <w:pStyle w:val="ListParagraph"/>
        <w:numPr>
          <w:ilvl w:val="0"/>
          <w:numId w:val="26"/>
        </w:numPr>
      </w:pPr>
      <w:r w:rsidRPr="0039395D">
        <w:t>Lack of awareness on energy efficiency, its alternatives and associated lifetime energy savings</w:t>
      </w:r>
    </w:p>
    <w:p w14:paraId="49DC5E7D" w14:textId="27100121" w:rsidR="007E3CF6" w:rsidRPr="0039395D" w:rsidRDefault="007E3CF6" w:rsidP="0039395D">
      <w:pPr>
        <w:pStyle w:val="ListParagraph"/>
        <w:numPr>
          <w:ilvl w:val="0"/>
          <w:numId w:val="26"/>
        </w:numPr>
      </w:pPr>
      <w:r w:rsidRPr="0039395D">
        <w:t>Unaware of OBF and alternative state financing plans</w:t>
      </w:r>
    </w:p>
    <w:p w14:paraId="02F61561" w14:textId="27100121" w:rsidR="007E3CF6" w:rsidRDefault="007E3CF6" w:rsidP="0039395D">
      <w:pPr>
        <w:pStyle w:val="ListParagraph"/>
        <w:numPr>
          <w:ilvl w:val="0"/>
          <w:numId w:val="26"/>
        </w:numPr>
      </w:pPr>
      <w:r w:rsidRPr="0039395D">
        <w:t>Non-energy benefits of measures</w:t>
      </w:r>
    </w:p>
    <w:p w14:paraId="2D4F5063" w14:textId="27100121" w:rsidR="00F8063A" w:rsidRDefault="00F8063A" w:rsidP="00F8063A">
      <w:r>
        <w:t>The program interventions that would effectively accelerate equipment turnover are:</w:t>
      </w:r>
    </w:p>
    <w:p w14:paraId="56CBB863" w14:textId="27100121" w:rsidR="00F8063A" w:rsidRDefault="00F8063A" w:rsidP="00F8063A">
      <w:pPr>
        <w:pStyle w:val="ListParagraph"/>
        <w:numPr>
          <w:ilvl w:val="0"/>
          <w:numId w:val="26"/>
        </w:numPr>
      </w:pPr>
      <w:r>
        <w:t>Program incentives</w:t>
      </w:r>
    </w:p>
    <w:p w14:paraId="606D804F" w14:textId="2CB8B241" w:rsidR="00F8063A" w:rsidRDefault="00840A76" w:rsidP="00F8063A">
      <w:pPr>
        <w:pStyle w:val="ListParagraph"/>
        <w:numPr>
          <w:ilvl w:val="0"/>
          <w:numId w:val="26"/>
        </w:numPr>
      </w:pPr>
      <w:r>
        <w:t xml:space="preserve">Education </w:t>
      </w:r>
      <w:r w:rsidR="00F8063A">
        <w:t xml:space="preserve">of life-time energy efficiency savings’ benefits </w:t>
      </w:r>
    </w:p>
    <w:p w14:paraId="63E04870" w14:textId="0A3B01AA" w:rsidR="00F8063A" w:rsidRDefault="006968B8" w:rsidP="00F8063A">
      <w:pPr>
        <w:pStyle w:val="ListParagraph"/>
        <w:numPr>
          <w:ilvl w:val="0"/>
          <w:numId w:val="26"/>
        </w:numPr>
      </w:pPr>
      <w:r>
        <w:t>Program</w:t>
      </w:r>
      <w:r w:rsidR="00F8063A">
        <w:t>’s site assessment and identification of potential energy efficiency opportunities</w:t>
      </w:r>
    </w:p>
    <w:p w14:paraId="2E47E68D" w14:textId="740C3980" w:rsidR="00F8063A" w:rsidRDefault="006968B8" w:rsidP="00F8063A">
      <w:pPr>
        <w:pStyle w:val="ListParagraph"/>
        <w:numPr>
          <w:ilvl w:val="0"/>
          <w:numId w:val="26"/>
        </w:numPr>
      </w:pPr>
      <w:r>
        <w:t>Program</w:t>
      </w:r>
      <w:r w:rsidR="00F8063A">
        <w:t xml:space="preserve"> guidance on available energy efficiency alternatives and selection of most-efficient energy option</w:t>
      </w:r>
    </w:p>
    <w:p w14:paraId="17647E5A" w14:textId="449B26EE" w:rsidR="00F8063A" w:rsidRDefault="00840A76" w:rsidP="00F8063A">
      <w:pPr>
        <w:pStyle w:val="ListParagraph"/>
        <w:numPr>
          <w:ilvl w:val="0"/>
          <w:numId w:val="26"/>
        </w:numPr>
      </w:pPr>
      <w:r>
        <w:t xml:space="preserve">Education </w:t>
      </w:r>
      <w:r w:rsidR="00F8063A">
        <w:t>of non-energy benefits of measures including reduced maintenance and longer equipment life</w:t>
      </w:r>
    </w:p>
    <w:p w14:paraId="52AF6B84" w14:textId="27100121" w:rsidR="00F8063A" w:rsidRPr="0039395D" w:rsidRDefault="00F8063A" w:rsidP="00F8063A">
      <w:pPr>
        <w:pStyle w:val="ListParagraph"/>
        <w:numPr>
          <w:ilvl w:val="0"/>
          <w:numId w:val="26"/>
        </w:numPr>
      </w:pPr>
      <w:r>
        <w:t>Environmental benefits/corporate sustainability goals</w:t>
      </w:r>
    </w:p>
    <w:p w14:paraId="7AE52281" w14:textId="0618D0E8" w:rsidR="001E5847" w:rsidRDefault="003F1839" w:rsidP="001E5847">
      <w:pPr>
        <w:rPr>
          <w:b/>
        </w:rPr>
      </w:pPr>
      <w:bookmarkStart w:id="38" w:name="_Toc57653962"/>
      <w:r>
        <w:rPr>
          <w:rStyle w:val="Heading2Char"/>
          <w:sz w:val="24"/>
          <w:szCs w:val="24"/>
        </w:rPr>
        <w:t>7</w:t>
      </w:r>
      <w:r w:rsidR="001E5847" w:rsidRPr="00D56CCD">
        <w:rPr>
          <w:rStyle w:val="Heading2Char"/>
          <w:sz w:val="24"/>
          <w:szCs w:val="24"/>
        </w:rPr>
        <w:t xml:space="preserve">. </w:t>
      </w:r>
      <w:r w:rsidR="000447D3">
        <w:rPr>
          <w:rStyle w:val="Heading2Char"/>
          <w:sz w:val="24"/>
          <w:szCs w:val="24"/>
        </w:rPr>
        <w:t>Pilots</w:t>
      </w:r>
      <w:bookmarkEnd w:id="38"/>
      <w:r w:rsidR="001E5847" w:rsidRPr="00D56CCD">
        <w:rPr>
          <w:b/>
          <w:sz w:val="24"/>
          <w:szCs w:val="24"/>
        </w:rPr>
        <w:t>:</w:t>
      </w:r>
      <w:r w:rsidR="001E5847" w:rsidRPr="00D87623">
        <w:rPr>
          <w:b/>
        </w:rPr>
        <w:t xml:space="preserve"> </w:t>
      </w:r>
    </w:p>
    <w:p w14:paraId="6AE327DB" w14:textId="47BB73E4" w:rsidR="001E5847" w:rsidRPr="001E5847" w:rsidRDefault="008952EC" w:rsidP="001E5847">
      <w:pPr>
        <w:rPr>
          <w:rStyle w:val="Heading2Char"/>
          <w:rFonts w:eastAsiaTheme="minorHAnsi" w:cstheme="minorBidi"/>
          <w:bCs w:val="0"/>
          <w:caps w:val="0"/>
          <w:color w:val="auto"/>
          <w:sz w:val="18"/>
          <w:szCs w:val="22"/>
        </w:rPr>
      </w:pPr>
      <w:r>
        <w:t>Not Applicable</w:t>
      </w:r>
    </w:p>
    <w:p w14:paraId="17D9FE98" w14:textId="1C22F418" w:rsidR="003F1839" w:rsidRPr="003F1839" w:rsidRDefault="003F1839" w:rsidP="00585364">
      <w:pPr>
        <w:rPr>
          <w:b/>
        </w:rPr>
      </w:pPr>
      <w:bookmarkStart w:id="39" w:name="_Toc57653963"/>
      <w:r>
        <w:rPr>
          <w:rStyle w:val="Heading2Char"/>
          <w:sz w:val="24"/>
          <w:szCs w:val="24"/>
        </w:rPr>
        <w:t>8</w:t>
      </w:r>
      <w:r w:rsidRPr="00D56CCD">
        <w:rPr>
          <w:rStyle w:val="Heading2Char"/>
          <w:sz w:val="24"/>
          <w:szCs w:val="24"/>
        </w:rPr>
        <w:t xml:space="preserve">. </w:t>
      </w:r>
      <w:r>
        <w:rPr>
          <w:rStyle w:val="Heading2Char"/>
          <w:sz w:val="24"/>
          <w:szCs w:val="24"/>
        </w:rPr>
        <w:t>Workforce education and training</w:t>
      </w:r>
      <w:bookmarkEnd w:id="39"/>
      <w:r w:rsidRPr="00D56CCD">
        <w:rPr>
          <w:b/>
          <w:sz w:val="24"/>
          <w:szCs w:val="24"/>
        </w:rPr>
        <w:t>:</w:t>
      </w:r>
      <w:r>
        <w:rPr>
          <w:b/>
        </w:rPr>
        <w:t xml:space="preserve">, </w:t>
      </w:r>
    </w:p>
    <w:p w14:paraId="24C2BFAC" w14:textId="7827457B" w:rsidR="00FF4577" w:rsidRDefault="007E1519" w:rsidP="003F1839">
      <w:r>
        <w:t xml:space="preserve">The Program will </w:t>
      </w:r>
      <w:r w:rsidR="00C277F0">
        <w:t>support workforce, education, and training</w:t>
      </w:r>
      <w:r w:rsidR="003F59B1">
        <w:t xml:space="preserve"> (WE&amp;T)</w:t>
      </w:r>
      <w:r w:rsidR="00C277F0">
        <w:t xml:space="preserve"> </w:t>
      </w:r>
      <w:r w:rsidR="00EC4285">
        <w:t xml:space="preserve">to market actors and </w:t>
      </w:r>
      <w:r w:rsidR="00897DDA">
        <w:t xml:space="preserve">reinforce the value with </w:t>
      </w:r>
      <w:r w:rsidR="00EC4285">
        <w:t>customers</w:t>
      </w:r>
      <w:r w:rsidR="00C67937">
        <w:t xml:space="preserve"> where possible</w:t>
      </w:r>
      <w:r w:rsidR="00EC4285">
        <w:t xml:space="preserve">. </w:t>
      </w:r>
    </w:p>
    <w:p w14:paraId="3B21EE7D" w14:textId="77777777" w:rsidR="00CB3731" w:rsidRDefault="00FF4577" w:rsidP="00FF4577">
      <w:r>
        <w:t>Implementer will take the following steps:</w:t>
      </w:r>
    </w:p>
    <w:p w14:paraId="12075486" w14:textId="68DB84EB" w:rsidR="00CB3731" w:rsidRDefault="00FF4577" w:rsidP="00767AA7">
      <w:pPr>
        <w:pStyle w:val="ListParagraph"/>
        <w:numPr>
          <w:ilvl w:val="0"/>
          <w:numId w:val="31"/>
        </w:numPr>
      </w:pPr>
      <w:r>
        <w:t xml:space="preserve">Cultivate relationships with and </w:t>
      </w:r>
      <w:r w:rsidR="00897DDA">
        <w:t>provide</w:t>
      </w:r>
      <w:r>
        <w:t xml:space="preserve"> resources to vendors serving the</w:t>
      </w:r>
      <w:r w:rsidR="00CB3731">
        <w:t xml:space="preserve"> </w:t>
      </w:r>
      <w:r>
        <w:t>industrial sector with a track record of high-quality installation and energy efficiency</w:t>
      </w:r>
      <w:r w:rsidR="00CB3731">
        <w:t xml:space="preserve"> </w:t>
      </w:r>
      <w:r>
        <w:t>proficiency who meet and advance workforce standard</w:t>
      </w:r>
      <w:r w:rsidR="00CB3731">
        <w:t>.</w:t>
      </w:r>
    </w:p>
    <w:p w14:paraId="20A2FA3E" w14:textId="77777777" w:rsidR="006709D6" w:rsidRDefault="00FF4577" w:rsidP="00767AA7">
      <w:pPr>
        <w:pStyle w:val="ListParagraph"/>
        <w:numPr>
          <w:ilvl w:val="0"/>
          <w:numId w:val="31"/>
        </w:numPr>
      </w:pPr>
      <w:r>
        <w:t>Engage and provide information to customer’s local and regional vendors who work in</w:t>
      </w:r>
      <w:r w:rsidR="006709D6">
        <w:t xml:space="preserve"> </w:t>
      </w:r>
      <w:r>
        <w:t>the industrial sector to ensure they understand Program requirements and build the</w:t>
      </w:r>
      <w:r w:rsidR="006709D6">
        <w:t xml:space="preserve"> </w:t>
      </w:r>
      <w:r>
        <w:t>necessary skills to support energy efficiency projects.</w:t>
      </w:r>
    </w:p>
    <w:p w14:paraId="554E610B" w14:textId="178E12F8" w:rsidR="00FF4577" w:rsidRDefault="00FF4577" w:rsidP="00767AA7">
      <w:pPr>
        <w:pStyle w:val="ListParagraph"/>
        <w:numPr>
          <w:ilvl w:val="0"/>
          <w:numId w:val="31"/>
        </w:numPr>
      </w:pPr>
      <w:r>
        <w:t>Reinforce the value of a skilled and trained energy efficiency workforce with customers</w:t>
      </w:r>
      <w:r w:rsidR="006709D6">
        <w:t xml:space="preserve"> </w:t>
      </w:r>
      <w:r>
        <w:t>to further support customer’s vendors development.</w:t>
      </w:r>
    </w:p>
    <w:p w14:paraId="22A42DD9" w14:textId="2577DC0B" w:rsidR="008C06C4" w:rsidRDefault="00D10F89" w:rsidP="00767AA7">
      <w:pPr>
        <w:pStyle w:val="ListParagraph"/>
        <w:numPr>
          <w:ilvl w:val="0"/>
          <w:numId w:val="31"/>
        </w:numPr>
      </w:pPr>
      <w:r>
        <w:t>Promote an</w:t>
      </w:r>
      <w:r w:rsidR="00A32F07">
        <w:t xml:space="preserve">d </w:t>
      </w:r>
      <w:r w:rsidR="00D302B1">
        <w:t xml:space="preserve">perpetuate PG&amp;E’s </w:t>
      </w:r>
      <w:r w:rsidR="003F59B1">
        <w:t>goal for WE&amp;T to support the development of an energy workforce capable of meeting state energy goal</w:t>
      </w:r>
      <w:r w:rsidR="00D2604F">
        <w:t xml:space="preserve">s utilizing </w:t>
      </w:r>
      <w:r w:rsidR="00D302B1">
        <w:t xml:space="preserve">four primary strategies </w:t>
      </w:r>
      <w:r w:rsidR="003817A8">
        <w:t xml:space="preserve">and one cross-cutting strategy as detailed in the PG&amp;E </w:t>
      </w:r>
      <w:r w:rsidR="00644BF2">
        <w:t xml:space="preserve">Energy Efficiency </w:t>
      </w:r>
      <w:r w:rsidR="003817A8">
        <w:t xml:space="preserve">Business Plan </w:t>
      </w:r>
      <w:r w:rsidR="002D6A96">
        <w:t xml:space="preserve">(2018-2025), </w:t>
      </w:r>
      <w:r w:rsidR="0096497E">
        <w:t>Chapter</w:t>
      </w:r>
      <w:r w:rsidR="002D6A96">
        <w:t xml:space="preserve"> 9.</w:t>
      </w:r>
      <w:r w:rsidR="0096497E">
        <w:t xml:space="preserve">  The </w:t>
      </w:r>
      <w:r w:rsidR="00B20240">
        <w:t>five</w:t>
      </w:r>
      <w:r w:rsidR="0096497E">
        <w:t xml:space="preserve"> strategies are </w:t>
      </w:r>
      <w:r w:rsidR="00F03F00">
        <w:t xml:space="preserve">career connections, </w:t>
      </w:r>
      <w:r w:rsidR="00226375">
        <w:t xml:space="preserve">career and workforce readiness, </w:t>
      </w:r>
      <w:r w:rsidR="004B4E9E">
        <w:t>core energy education collaboration, technical upskill</w:t>
      </w:r>
      <w:r w:rsidR="00470FEC">
        <w:t>, and long-term integrated planning and advocacy support.</w:t>
      </w:r>
      <w:r w:rsidR="004B4E9E">
        <w:t xml:space="preserve"> </w:t>
      </w:r>
    </w:p>
    <w:p w14:paraId="68CD22BE" w14:textId="5E3FEC05" w:rsidR="003F1839" w:rsidRPr="003F1839" w:rsidRDefault="00EC4285" w:rsidP="003F1839">
      <w:pPr>
        <w:rPr>
          <w:rStyle w:val="Heading2Char"/>
          <w:rFonts w:eastAsiaTheme="minorHAnsi" w:cstheme="minorBidi"/>
          <w:bCs w:val="0"/>
          <w:caps w:val="0"/>
          <w:color w:val="auto"/>
          <w:sz w:val="18"/>
          <w:szCs w:val="22"/>
        </w:rPr>
      </w:pPr>
      <w:r>
        <w:t xml:space="preserve"> </w:t>
      </w:r>
    </w:p>
    <w:p w14:paraId="0EC19883" w14:textId="2E71501F" w:rsidR="00C2294C" w:rsidRPr="00C2294C" w:rsidRDefault="003F1839" w:rsidP="00585364">
      <w:pPr>
        <w:rPr>
          <w:b/>
        </w:rPr>
      </w:pPr>
      <w:bookmarkStart w:id="40" w:name="_Toc57653964"/>
      <w:r>
        <w:rPr>
          <w:rStyle w:val="Heading2Char"/>
          <w:sz w:val="24"/>
          <w:szCs w:val="24"/>
        </w:rPr>
        <w:t>9</w:t>
      </w:r>
      <w:r w:rsidRPr="00D56CCD">
        <w:rPr>
          <w:rStyle w:val="Heading2Char"/>
          <w:sz w:val="24"/>
          <w:szCs w:val="24"/>
        </w:rPr>
        <w:t xml:space="preserve">. </w:t>
      </w:r>
      <w:r>
        <w:rPr>
          <w:rStyle w:val="Heading2Char"/>
          <w:sz w:val="24"/>
          <w:szCs w:val="24"/>
        </w:rPr>
        <w:t>Workforce standards</w:t>
      </w:r>
      <w:bookmarkEnd w:id="40"/>
      <w:r w:rsidRPr="00D56CCD">
        <w:rPr>
          <w:b/>
          <w:sz w:val="24"/>
          <w:szCs w:val="24"/>
        </w:rPr>
        <w:t>:</w:t>
      </w:r>
      <w:r>
        <w:rPr>
          <w:b/>
          <w:sz w:val="24"/>
          <w:szCs w:val="24"/>
        </w:rPr>
        <w:t xml:space="preserve"> </w:t>
      </w:r>
    </w:p>
    <w:p w14:paraId="1D63AF64" w14:textId="300C6F05" w:rsidR="006C5575" w:rsidRDefault="00140B9F" w:rsidP="006C5575">
      <w:r>
        <w:t xml:space="preserve">The Program will ensure compliance </w:t>
      </w:r>
      <w:r w:rsidR="006C5575">
        <w:t>with the applicable CPUC mandated workforce standards. For all Program HVAC projects and for each measure installed, modified, or maintained in a</w:t>
      </w:r>
      <w:r w:rsidR="0088720A">
        <w:t xml:space="preserve"> </w:t>
      </w:r>
      <w:r w:rsidR="006C5575">
        <w:t>non-residential setting where the project is seeking an energy efficiency incentive of $3,000 or</w:t>
      </w:r>
      <w:r w:rsidR="0088720A">
        <w:t xml:space="preserve"> </w:t>
      </w:r>
      <w:r w:rsidR="006C5575">
        <w:t xml:space="preserve">more, </w:t>
      </w:r>
      <w:r>
        <w:t>the Program will</w:t>
      </w:r>
      <w:r w:rsidR="006C5575">
        <w:t xml:space="preserve"> require that each worker or technician involved in the project meets</w:t>
      </w:r>
      <w:r w:rsidR="0088720A">
        <w:t xml:space="preserve"> </w:t>
      </w:r>
      <w:r w:rsidR="006C5575">
        <w:t>at least one of the following criteria:</w:t>
      </w:r>
    </w:p>
    <w:p w14:paraId="144C4D99" w14:textId="4A76F689" w:rsidR="006C5575" w:rsidRDefault="006C5575" w:rsidP="004E0A85">
      <w:pPr>
        <w:pStyle w:val="ListParagraph"/>
        <w:numPr>
          <w:ilvl w:val="0"/>
          <w:numId w:val="23"/>
        </w:numPr>
      </w:pPr>
      <w:r>
        <w:lastRenderedPageBreak/>
        <w:t>Completed an accredited HVAC apprenticeship.</w:t>
      </w:r>
    </w:p>
    <w:p w14:paraId="4E4997E2" w14:textId="0222CCD1" w:rsidR="006C5575" w:rsidRDefault="006C5575" w:rsidP="004E0A85">
      <w:pPr>
        <w:pStyle w:val="ListParagraph"/>
        <w:numPr>
          <w:ilvl w:val="0"/>
          <w:numId w:val="23"/>
        </w:numPr>
      </w:pPr>
      <w:r>
        <w:t>Is enrolled in an accredited HVAC apprenticeship.</w:t>
      </w:r>
    </w:p>
    <w:p w14:paraId="50B826AD" w14:textId="0B41EEBF" w:rsidR="0088720A" w:rsidRDefault="006C5575" w:rsidP="004E0A85">
      <w:pPr>
        <w:pStyle w:val="ListParagraph"/>
        <w:numPr>
          <w:ilvl w:val="0"/>
          <w:numId w:val="23"/>
        </w:numPr>
      </w:pPr>
      <w:r>
        <w:t>Completed at least five years of work experience at the journey level according to the</w:t>
      </w:r>
      <w:r w:rsidR="0088720A">
        <w:t xml:space="preserve"> </w:t>
      </w:r>
      <w:r>
        <w:t>Department of Industrial Relations definition, Title 8, Section 205, of the California</w:t>
      </w:r>
      <w:r w:rsidR="0088720A">
        <w:t xml:space="preserve"> </w:t>
      </w:r>
      <w:r>
        <w:t>Code of Regulations, passed a practical and written HVAC system installation</w:t>
      </w:r>
      <w:r w:rsidR="0088720A">
        <w:t xml:space="preserve"> </w:t>
      </w:r>
      <w:r>
        <w:t>competency test, and received credentialed training specific to the installation of the</w:t>
      </w:r>
      <w:r w:rsidR="0088720A">
        <w:t xml:space="preserve"> </w:t>
      </w:r>
      <w:r>
        <w:t>technology being installed.</w:t>
      </w:r>
      <w:r w:rsidR="0088720A">
        <w:t xml:space="preserve"> </w:t>
      </w:r>
    </w:p>
    <w:p w14:paraId="5133ADC4" w14:textId="5F069AED" w:rsidR="0088720A" w:rsidRDefault="006C5575" w:rsidP="004E0A85">
      <w:pPr>
        <w:pStyle w:val="ListParagraph"/>
        <w:numPr>
          <w:ilvl w:val="0"/>
          <w:numId w:val="23"/>
        </w:numPr>
      </w:pPr>
      <w:r>
        <w:t>Has a C-20 HVAC contractor license issued by the California Contractor’s State</w:t>
      </w:r>
      <w:r w:rsidR="0088720A">
        <w:t xml:space="preserve"> </w:t>
      </w:r>
      <w:r>
        <w:t>Licensing Board.</w:t>
      </w:r>
    </w:p>
    <w:p w14:paraId="0418EE7B" w14:textId="7A03C33A" w:rsidR="006C5575" w:rsidRDefault="006C5575" w:rsidP="006C5575">
      <w:r>
        <w:t>For all Program lighting projects and for each measure installed in a non-residential setting</w:t>
      </w:r>
      <w:r w:rsidR="00240131">
        <w:t xml:space="preserve"> </w:t>
      </w:r>
      <w:r>
        <w:t>where the advance lighting control project is seeking an energy efficiency incentive of $2,000</w:t>
      </w:r>
      <w:r w:rsidR="00240131">
        <w:t xml:space="preserve"> </w:t>
      </w:r>
      <w:r>
        <w:t xml:space="preserve">or more, </w:t>
      </w:r>
      <w:r w:rsidR="00140B9F">
        <w:t>the Program will</w:t>
      </w:r>
      <w:r>
        <w:t xml:space="preserve"> require that all workers or technicians involved in the project are</w:t>
      </w:r>
      <w:r w:rsidR="00240131">
        <w:t xml:space="preserve"> </w:t>
      </w:r>
      <w:r>
        <w:t xml:space="preserve">certified by the California Advanced Lighting Controls Training Program. </w:t>
      </w:r>
    </w:p>
    <w:p w14:paraId="43756890" w14:textId="77777777" w:rsidR="006C5575" w:rsidRDefault="006C5575" w:rsidP="006C5575"/>
    <w:p w14:paraId="0FC0763C" w14:textId="16ACE0D6" w:rsidR="00C2294C" w:rsidRDefault="00C2294C" w:rsidP="24A00BF3">
      <w:pPr>
        <w:rPr>
          <w:b/>
          <w:bCs/>
        </w:rPr>
      </w:pPr>
      <w:bookmarkStart w:id="41" w:name="_Toc57653965"/>
      <w:r w:rsidRPr="24A00BF3">
        <w:rPr>
          <w:rStyle w:val="Heading2Char"/>
          <w:sz w:val="24"/>
          <w:szCs w:val="24"/>
        </w:rPr>
        <w:t>10. Disadvantaged worker plan</w:t>
      </w:r>
      <w:bookmarkEnd w:id="41"/>
      <w:r w:rsidRPr="24A00BF3">
        <w:rPr>
          <w:b/>
          <w:bCs/>
          <w:sz w:val="24"/>
          <w:szCs w:val="24"/>
        </w:rPr>
        <w:t xml:space="preserve">: </w:t>
      </w:r>
    </w:p>
    <w:p w14:paraId="67FE5040" w14:textId="16764F07" w:rsidR="2C9C5C9E" w:rsidRDefault="2C9C5C9E" w:rsidP="24A00BF3">
      <w:r>
        <w:t xml:space="preserve">The Program is designed to serve the industrial segment. </w:t>
      </w:r>
      <w:r w:rsidR="00442D6A">
        <w:t xml:space="preserve">The </w:t>
      </w:r>
      <w:r w:rsidR="00C644C4">
        <w:t>P</w:t>
      </w:r>
      <w:r w:rsidR="00442D6A">
        <w:t>rogram</w:t>
      </w:r>
      <w:r>
        <w:t xml:space="preserve"> anticipate serving businesses in disadvantaged communities (DACs) identified by CalEnviroScreen 3.0, especially </w:t>
      </w:r>
      <w:r w:rsidR="00C644C4">
        <w:t>since many</w:t>
      </w:r>
      <w:r>
        <w:t xml:space="preserve"> industrial sites that are often located in DACs.</w:t>
      </w:r>
      <w:r w:rsidR="004D716C">
        <w:t xml:space="preserve">  </w:t>
      </w:r>
      <w:r w:rsidR="00EA5D99">
        <w:t xml:space="preserve">The </w:t>
      </w:r>
      <w:r w:rsidR="00C644C4">
        <w:t>P</w:t>
      </w:r>
      <w:r w:rsidR="00EA5D99">
        <w:t xml:space="preserve">rogram </w:t>
      </w:r>
      <w:r w:rsidR="00253382">
        <w:t>anticipates</w:t>
      </w:r>
      <w:r w:rsidR="00EA5D99">
        <w:t xml:space="preserve"> </w:t>
      </w:r>
      <w:r w:rsidR="00836547">
        <w:t>develop</w:t>
      </w:r>
      <w:r w:rsidR="00253382">
        <w:t>ing</w:t>
      </w:r>
      <w:r w:rsidR="00836547">
        <w:t xml:space="preserve"> </w:t>
      </w:r>
      <w:r w:rsidR="00E37CAC">
        <w:t>many</w:t>
      </w:r>
      <w:r w:rsidR="00A72903">
        <w:t xml:space="preserve"> </w:t>
      </w:r>
      <w:r w:rsidR="00FC38A6">
        <w:t>energy savings projects</w:t>
      </w:r>
      <w:r w:rsidR="00045568">
        <w:t xml:space="preserve">, which will be </w:t>
      </w:r>
      <w:r w:rsidR="00B736B7">
        <w:t>engineered, d</w:t>
      </w:r>
      <w:r w:rsidR="00612265">
        <w:t xml:space="preserve">esigned and </w:t>
      </w:r>
      <w:r w:rsidR="00682100">
        <w:t>installed by local contractors employing disadvantaged workers.</w:t>
      </w:r>
      <w:r w:rsidR="00953577">
        <w:t xml:space="preserve"> Through our trade ally and vendor outreach and training, we will </w:t>
      </w:r>
      <w:r w:rsidR="002A48F1">
        <w:t xml:space="preserve">promote career </w:t>
      </w:r>
      <w:r w:rsidR="005A3C03">
        <w:t>opportunities for disadvantaged workers</w:t>
      </w:r>
      <w:r w:rsidR="008E4CBC">
        <w:t xml:space="preserve"> and </w:t>
      </w:r>
      <w:r w:rsidR="00186C2A">
        <w:t>prioritize support for those who</w:t>
      </w:r>
      <w:r w:rsidR="00743F01">
        <w:t xml:space="preserve"> build </w:t>
      </w:r>
      <w:r w:rsidR="00971119">
        <w:t>tactics into their business model to support these workers.</w:t>
      </w:r>
    </w:p>
    <w:p w14:paraId="4C53604C" w14:textId="12AA6804" w:rsidR="24A00BF3" w:rsidRDefault="24A00BF3" w:rsidP="24A00BF3"/>
    <w:p w14:paraId="6547B118" w14:textId="3D829DC3" w:rsidR="00C2294C" w:rsidRDefault="00C2294C" w:rsidP="00C2294C">
      <w:pPr>
        <w:rPr>
          <w:b/>
        </w:rPr>
      </w:pPr>
      <w:bookmarkStart w:id="42" w:name="_Toc57653966"/>
      <w:r>
        <w:rPr>
          <w:rStyle w:val="Heading2Char"/>
          <w:sz w:val="24"/>
          <w:szCs w:val="24"/>
        </w:rPr>
        <w:t>11</w:t>
      </w:r>
      <w:r w:rsidRPr="00D56CCD">
        <w:rPr>
          <w:rStyle w:val="Heading2Char"/>
          <w:sz w:val="24"/>
          <w:szCs w:val="24"/>
        </w:rPr>
        <w:t xml:space="preserve">. </w:t>
      </w:r>
      <w:r>
        <w:rPr>
          <w:rStyle w:val="Heading2Char"/>
          <w:sz w:val="24"/>
          <w:szCs w:val="24"/>
        </w:rPr>
        <w:t>Additional information</w:t>
      </w:r>
      <w:bookmarkEnd w:id="42"/>
      <w:r w:rsidRPr="00D56CCD">
        <w:rPr>
          <w:b/>
          <w:sz w:val="24"/>
          <w:szCs w:val="24"/>
        </w:rPr>
        <w:t>:</w:t>
      </w:r>
      <w:r w:rsidR="009C4A50">
        <w:rPr>
          <w:b/>
        </w:rPr>
        <w:t xml:space="preserve"> </w:t>
      </w:r>
      <w:r>
        <w:rPr>
          <w:b/>
        </w:rPr>
        <w:t xml:space="preserve"> </w:t>
      </w:r>
    </w:p>
    <w:p w14:paraId="2520E5C1" w14:textId="1FA31AB8" w:rsidR="00C2294C" w:rsidRPr="00AD18E9" w:rsidRDefault="00CC0ED8" w:rsidP="00C2294C">
      <w:pPr>
        <w:rPr>
          <w:bCs/>
        </w:rPr>
      </w:pPr>
      <w:r>
        <w:rPr>
          <w:bCs/>
        </w:rPr>
        <w:t>No additional information</w:t>
      </w:r>
      <w:r w:rsidR="00294858">
        <w:rPr>
          <w:bCs/>
        </w:rPr>
        <w:t>.</w:t>
      </w:r>
    </w:p>
    <w:p w14:paraId="66367D0D" w14:textId="77777777" w:rsidR="00DB03C9" w:rsidRPr="00D87623" w:rsidRDefault="00DB03C9" w:rsidP="00DB03C9">
      <w:pPr>
        <w:pStyle w:val="Heading1"/>
      </w:pPr>
      <w:bookmarkStart w:id="43" w:name="_Toc8227881"/>
      <w:bookmarkStart w:id="44" w:name="_Toc57653967"/>
      <w:r w:rsidRPr="00D87623">
        <w:t>Supporting Documents</w:t>
      </w:r>
      <w:bookmarkEnd w:id="43"/>
      <w:bookmarkEnd w:id="44"/>
    </w:p>
    <w:p w14:paraId="53684898" w14:textId="2739011B" w:rsidR="00DB03C9" w:rsidRPr="00D87623" w:rsidRDefault="00DB03C9" w:rsidP="00DB03C9">
      <w:r w:rsidRPr="00D87623">
        <w:t xml:space="preserve">Attach the following documents </w:t>
      </w:r>
      <w:r w:rsidR="009C4A50">
        <w:t>(in PDF format)</w:t>
      </w:r>
      <w:r w:rsidRPr="00D87623">
        <w:t>:</w:t>
      </w:r>
    </w:p>
    <w:p w14:paraId="62B5C622" w14:textId="77777777" w:rsidR="00DB03C9" w:rsidRPr="00F06A6E" w:rsidRDefault="00DB03C9" w:rsidP="00DB03C9">
      <w:pPr>
        <w:pStyle w:val="Heading2"/>
        <w:rPr>
          <w:sz w:val="24"/>
          <w:szCs w:val="24"/>
        </w:rPr>
      </w:pPr>
      <w:bookmarkStart w:id="45" w:name="_Toc8227882"/>
      <w:bookmarkStart w:id="46" w:name="_Toc57653968"/>
      <w:r w:rsidRPr="00F06A6E">
        <w:rPr>
          <w:sz w:val="24"/>
          <w:szCs w:val="24"/>
        </w:rPr>
        <w:t>1. Program Manuals and Program Rules</w:t>
      </w:r>
      <w:bookmarkEnd w:id="45"/>
      <w:bookmarkEnd w:id="46"/>
      <w:r w:rsidRPr="00F06A6E">
        <w:rPr>
          <w:sz w:val="24"/>
          <w:szCs w:val="24"/>
        </w:rPr>
        <w:t xml:space="preserve"> </w:t>
      </w:r>
    </w:p>
    <w:p w14:paraId="727EFB29" w14:textId="77777777" w:rsidR="00DB03C9" w:rsidRPr="00D87623" w:rsidRDefault="00DB03C9" w:rsidP="00DB03C9">
      <w:r>
        <w:t>See attachment</w:t>
      </w:r>
    </w:p>
    <w:p w14:paraId="338AA923" w14:textId="2B176C2A" w:rsidR="00DB03C9" w:rsidRPr="00A447A0" w:rsidRDefault="00DB03C9" w:rsidP="00585364">
      <w:pPr>
        <w:pStyle w:val="Heading2"/>
      </w:pPr>
      <w:bookmarkStart w:id="47" w:name="_Toc8227883"/>
      <w:bookmarkStart w:id="48" w:name="_Toc57653969"/>
      <w:r w:rsidRPr="00F06A6E">
        <w:rPr>
          <w:sz w:val="24"/>
          <w:szCs w:val="24"/>
        </w:rPr>
        <w:t xml:space="preserve">2. Program </w:t>
      </w:r>
      <w:r w:rsidR="009C4A50">
        <w:rPr>
          <w:sz w:val="24"/>
          <w:szCs w:val="24"/>
        </w:rPr>
        <w:t xml:space="preserve">theory and program </w:t>
      </w:r>
      <w:r w:rsidRPr="00F06A6E">
        <w:rPr>
          <w:sz w:val="24"/>
          <w:szCs w:val="24"/>
        </w:rPr>
        <w:t>Logic Model</w:t>
      </w:r>
      <w:bookmarkEnd w:id="47"/>
      <w:bookmarkEnd w:id="48"/>
    </w:p>
    <w:p w14:paraId="7CFE2529" w14:textId="7D9D87FB" w:rsidR="00DB03C9" w:rsidRPr="00D87623" w:rsidRDefault="0382DC88" w:rsidP="43C16428">
      <w:r w:rsidRPr="008710D0">
        <w:t xml:space="preserve">The Program responds directly to the California Long Term Energy Efficiency Strategic Plan’s (CLTEESP) established desire for a “one-stop-shop” DSM program for energy management in the industrial sector (CLTEESP 2-7). We will scale and advance industrial customers’ energy efficiency through targeted outreach and project identification, robust technical support, and integrated financing and incentives. This strategically designed program will drive increased project uptake and yield deeper, persistent savings cost-effectively. We will achieve these goals through three interlinked categories of program services described below: 1) Targeting, 2) Technical Support, and 3) Finance and Incentives. </w:t>
      </w:r>
    </w:p>
    <w:p w14:paraId="396BBC15" w14:textId="751B5249" w:rsidR="002B6005" w:rsidRPr="002B6005" w:rsidRDefault="0382DC88" w:rsidP="00DB03C9">
      <w:pPr>
        <w:rPr>
          <w:b/>
          <w:bCs/>
        </w:rPr>
      </w:pPr>
      <w:r w:rsidRPr="002B6005">
        <w:rPr>
          <w:b/>
        </w:rPr>
        <w:t>Targeting</w:t>
      </w:r>
      <w:r w:rsidRPr="002B6005">
        <w:rPr>
          <w:b/>
          <w:bCs/>
        </w:rPr>
        <w:t xml:space="preserve"> </w:t>
      </w:r>
    </w:p>
    <w:p w14:paraId="13245C30" w14:textId="2DBF91E8" w:rsidR="00DB03C9" w:rsidRPr="00D87623" w:rsidRDefault="0382DC88" w:rsidP="00DB03C9">
      <w:r w:rsidRPr="008710D0">
        <w:t xml:space="preserve">The program will begin with highly targeted participant engagement, informed by our analysis of all available customer data. Equipped with this insight, we will conduct outreach to the highest-potential customers and confidently present them with recommendations for the most cost-effective projects and best-fit savings measurement platform. We will prioritize and encourage deeper and more persistent savings while aligning incentives and performance payments with </w:t>
      </w:r>
      <w:r w:rsidR="00263E5F">
        <w:t>life-cycle</w:t>
      </w:r>
      <w:r w:rsidRPr="008710D0">
        <w:t xml:space="preserve"> savings. Analytics-driven opportunity identification increases outreach efficiency and subsequent project uptake. Program marketing will target likely on-site project champions and influence them to create a project opportunity and request support through our program platform. </w:t>
      </w:r>
    </w:p>
    <w:p w14:paraId="6B6D2C22" w14:textId="77777777" w:rsidR="002B6005" w:rsidRPr="002B6005" w:rsidRDefault="0382DC88" w:rsidP="00DB03C9">
      <w:pPr>
        <w:rPr>
          <w:b/>
          <w:bCs/>
        </w:rPr>
      </w:pPr>
      <w:r w:rsidRPr="002B6005">
        <w:rPr>
          <w:b/>
        </w:rPr>
        <w:t>Technical Support</w:t>
      </w:r>
    </w:p>
    <w:p w14:paraId="2773385E" w14:textId="72B6D743" w:rsidR="00DB03C9" w:rsidRPr="00D87623" w:rsidRDefault="0382DC88" w:rsidP="00DB03C9">
      <w:r w:rsidRPr="008710D0">
        <w:t xml:space="preserve">After screening for eligibility, the program will provide the technical support needed to develop and implement a successful project. Our highly skilled Engineering Team will work with participating customers to identify measures, forecast savings and other benefits for each project, and communicate any operational or behavioral changes required for optimal performance. </w:t>
      </w:r>
      <w:r w:rsidRPr="008710D0">
        <w:lastRenderedPageBreak/>
        <w:t xml:space="preserve">Because most projects will require contractor involvement, we will also engage vetted program allies who comply with relevant workforce standards. To further support program ally development, we will reinforce the value of a skilled and trained energy efficiency workforce in our customer interactions. </w:t>
      </w:r>
    </w:p>
    <w:p w14:paraId="7647A4BE" w14:textId="77777777" w:rsidR="002B6005" w:rsidRPr="002B6005" w:rsidRDefault="0382DC88" w:rsidP="00DB03C9">
      <w:pPr>
        <w:rPr>
          <w:b/>
          <w:bCs/>
        </w:rPr>
      </w:pPr>
      <w:r w:rsidRPr="002B6005">
        <w:rPr>
          <w:b/>
        </w:rPr>
        <w:t>Finance and Incentives</w:t>
      </w:r>
    </w:p>
    <w:p w14:paraId="168DC3C5" w14:textId="0F4C0C14" w:rsidR="00DB03C9" w:rsidRPr="00D87623" w:rsidRDefault="0382DC88" w:rsidP="00DB03C9">
      <w:r w:rsidRPr="008710D0">
        <w:t xml:space="preserve">The Program will offset project cost for participants with </w:t>
      </w:r>
      <w:r w:rsidR="00A71EAF">
        <w:t xml:space="preserve">flexible and dynamic </w:t>
      </w:r>
      <w:r w:rsidRPr="008710D0">
        <w:t xml:space="preserve">incentives that span all PG&amp;E delivery platforms as well as financing options (CLTEESP 2-6). We will guide customers to the incentive offer that best aligns with their selected project, with incentives paid upon project completion for deemed and custom measures. Ultimately, this CLEAResult program pillar ensures that participants can easily find financing </w:t>
      </w:r>
      <w:r w:rsidR="00722D01">
        <w:t>matched with</w:t>
      </w:r>
      <w:r w:rsidRPr="008710D0">
        <w:t xml:space="preserve"> incentives for their specific project and organizational challenges. We will continually build awareness of non-financial program benefits, such as available technical assistance and monitored energy savings, and financing to shift customers towards value-driven, not incentive-driven, energy efficiency project uptake which will decrease costs over time. </w:t>
      </w:r>
    </w:p>
    <w:p w14:paraId="55510059" w14:textId="73781E66" w:rsidR="00DB03C9" w:rsidRPr="00D87623" w:rsidRDefault="0382DC88" w:rsidP="00DB03C9">
      <w:r w:rsidRPr="008710D0">
        <w:t xml:space="preserve">CLEAResult will ensure continuous improvement throughout our implementation of the Program. We will regularly analyze which measure combinations produce the greatest and most reliable savings. This insight will allow us to refine our measure mix and optimize the project recommendations with which we target prospective participants. </w:t>
      </w:r>
    </w:p>
    <w:p w14:paraId="08A885A9" w14:textId="775E9D4D" w:rsidR="00DB03C9" w:rsidRPr="00D87623" w:rsidRDefault="0382DC88" w:rsidP="00DB03C9">
      <w:r w:rsidRPr="008710D0">
        <w:t xml:space="preserve">Direct observable program outputs will include: </w:t>
      </w:r>
    </w:p>
    <w:p w14:paraId="68A0029A" w14:textId="36C24A65" w:rsidR="00DB03C9" w:rsidRPr="008710D0" w:rsidRDefault="0382DC88" w:rsidP="008710D0">
      <w:pPr>
        <w:pStyle w:val="ListParagraph"/>
        <w:numPr>
          <w:ilvl w:val="0"/>
          <w:numId w:val="31"/>
        </w:numPr>
      </w:pPr>
      <w:r w:rsidRPr="008710D0">
        <w:t>A prioritized list of high-potential industrial sites in PG&amp;E territory for targeted outreach</w:t>
      </w:r>
    </w:p>
    <w:p w14:paraId="07A13E36" w14:textId="244EB0D7" w:rsidR="00DB03C9" w:rsidRPr="008710D0" w:rsidRDefault="0382DC88" w:rsidP="008710D0">
      <w:pPr>
        <w:pStyle w:val="ListParagraph"/>
        <w:numPr>
          <w:ilvl w:val="0"/>
          <w:numId w:val="31"/>
        </w:numPr>
      </w:pPr>
      <w:r w:rsidRPr="008710D0">
        <w:t>Our engagement will result in identified project champions at each participating site who will submit applications for selected projects</w:t>
      </w:r>
    </w:p>
    <w:p w14:paraId="1F2C8358" w14:textId="552F8ACA" w:rsidR="00DB03C9" w:rsidRPr="008710D0" w:rsidRDefault="0382DC88" w:rsidP="008710D0">
      <w:pPr>
        <w:pStyle w:val="ListParagraph"/>
        <w:numPr>
          <w:ilvl w:val="0"/>
          <w:numId w:val="31"/>
        </w:numPr>
      </w:pPr>
      <w:r w:rsidRPr="008710D0">
        <w:t>Improved businesses cases for projects, refined throughout implementation, will drive commitment and realized savings</w:t>
      </w:r>
    </w:p>
    <w:p w14:paraId="7DCE0D97" w14:textId="785A0936" w:rsidR="00DB03C9" w:rsidRPr="008710D0" w:rsidRDefault="00312C02" w:rsidP="008710D0">
      <w:pPr>
        <w:pStyle w:val="ListParagraph"/>
        <w:numPr>
          <w:ilvl w:val="0"/>
          <w:numId w:val="31"/>
        </w:numPr>
      </w:pPr>
      <w:r>
        <w:t>Program</w:t>
      </w:r>
      <w:r w:rsidR="0382DC88" w:rsidRPr="008710D0">
        <w:t>’s relationship-building work will equip project champions with a strong understanding of project benefits and impacts, leading to increased project conversion and future project uptake</w:t>
      </w:r>
    </w:p>
    <w:p w14:paraId="70D854E9" w14:textId="31204345" w:rsidR="00DB03C9" w:rsidRPr="008710D0" w:rsidRDefault="0382DC88" w:rsidP="008710D0">
      <w:pPr>
        <w:pStyle w:val="ListParagraph"/>
        <w:numPr>
          <w:ilvl w:val="0"/>
          <w:numId w:val="31"/>
        </w:numPr>
      </w:pPr>
      <w:r w:rsidRPr="008710D0">
        <w:t>Projects completed through the Program will be defined, vetted with technical rigor, and backed by quantified savings, costs, and returns-on-investment</w:t>
      </w:r>
    </w:p>
    <w:p w14:paraId="0CCACD1E" w14:textId="081CF018" w:rsidR="6F31D173" w:rsidRDefault="4984E784" w:rsidP="43C16428">
      <w:r>
        <w:rPr>
          <w:noProof/>
        </w:rPr>
        <w:lastRenderedPageBreak/>
        <w:drawing>
          <wp:inline distT="0" distB="0" distL="0" distR="0" wp14:anchorId="21563023" wp14:editId="4170BC28">
            <wp:extent cx="6243276" cy="4773506"/>
            <wp:effectExtent l="0" t="0" r="0" b="0"/>
            <wp:docPr id="1850592644" name="Picture 185059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592644"/>
                    <pic:cNvPicPr/>
                  </pic:nvPicPr>
                  <pic:blipFill>
                    <a:blip r:embed="rId12">
                      <a:extLst>
                        <a:ext uri="{28A0092B-C50C-407E-A947-70E740481C1C}">
                          <a14:useLocalDpi xmlns:a14="http://schemas.microsoft.com/office/drawing/2010/main" val="0"/>
                        </a:ext>
                      </a:extLst>
                    </a:blip>
                    <a:stretch>
                      <a:fillRect/>
                    </a:stretch>
                  </pic:blipFill>
                  <pic:spPr>
                    <a:xfrm>
                      <a:off x="0" y="0"/>
                      <a:ext cx="6243276" cy="4773506"/>
                    </a:xfrm>
                    <a:prstGeom prst="rect">
                      <a:avLst/>
                    </a:prstGeom>
                  </pic:spPr>
                </pic:pic>
              </a:graphicData>
            </a:graphic>
          </wp:inline>
        </w:drawing>
      </w:r>
    </w:p>
    <w:p w14:paraId="0B78BE53" w14:textId="4E7079FC" w:rsidR="00DB03C9" w:rsidRDefault="00DB03C9" w:rsidP="00DB03C9">
      <w:pPr>
        <w:pStyle w:val="Heading2"/>
      </w:pPr>
      <w:bookmarkStart w:id="49" w:name="_Toc8227884"/>
      <w:bookmarkStart w:id="50" w:name="_Toc57653970"/>
      <w:r w:rsidRPr="00F06A6E">
        <w:rPr>
          <w:sz w:val="24"/>
          <w:szCs w:val="24"/>
        </w:rPr>
        <w:t>3. Process Flow chart</w:t>
      </w:r>
      <w:bookmarkEnd w:id="49"/>
      <w:bookmarkEnd w:id="50"/>
    </w:p>
    <w:p w14:paraId="322A3518" w14:textId="7E46E770" w:rsidR="00DB03C9" w:rsidRPr="00A447A0" w:rsidRDefault="00DB03C9" w:rsidP="00DB03C9">
      <w:pPr>
        <w:rPr>
          <w:b/>
          <w:i/>
          <w:iCs/>
        </w:rPr>
      </w:pPr>
    </w:p>
    <w:p w14:paraId="11D92426" w14:textId="3E953695" w:rsidR="00DB03C9" w:rsidRPr="00312C02" w:rsidRDefault="4A29D620" w:rsidP="419F5095">
      <w:pPr>
        <w:rPr>
          <w:b/>
        </w:rPr>
      </w:pPr>
      <w:r w:rsidRPr="00312C02">
        <w:rPr>
          <w:b/>
        </w:rPr>
        <w:t>Custom:</w:t>
      </w:r>
    </w:p>
    <w:p w14:paraId="633BDB7D" w14:textId="765583A7" w:rsidR="00DB03C9" w:rsidRDefault="5B4D82D9" w:rsidP="419F5095">
      <w:pPr>
        <w:jc w:val="center"/>
      </w:pPr>
      <w:r>
        <w:rPr>
          <w:noProof/>
        </w:rPr>
        <w:drawing>
          <wp:inline distT="0" distB="0" distL="0" distR="0" wp14:anchorId="4A49CEBF" wp14:editId="59D73291">
            <wp:extent cx="6400800" cy="2019300"/>
            <wp:effectExtent l="0" t="0" r="0" b="0"/>
            <wp:docPr id="2046960151" name="Picture 204696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960151"/>
                    <pic:cNvPicPr/>
                  </pic:nvPicPr>
                  <pic:blipFill>
                    <a:blip r:embed="rId13">
                      <a:extLst>
                        <a:ext uri="{28A0092B-C50C-407E-A947-70E740481C1C}">
                          <a14:useLocalDpi xmlns:a14="http://schemas.microsoft.com/office/drawing/2010/main" val="0"/>
                        </a:ext>
                      </a:extLst>
                    </a:blip>
                    <a:stretch>
                      <a:fillRect/>
                    </a:stretch>
                  </pic:blipFill>
                  <pic:spPr>
                    <a:xfrm>
                      <a:off x="0" y="0"/>
                      <a:ext cx="6400800" cy="2019300"/>
                    </a:xfrm>
                    <a:prstGeom prst="rect">
                      <a:avLst/>
                    </a:prstGeom>
                  </pic:spPr>
                </pic:pic>
              </a:graphicData>
            </a:graphic>
          </wp:inline>
        </w:drawing>
      </w:r>
    </w:p>
    <w:p w14:paraId="58149518" w14:textId="1EC6E98F" w:rsidR="00DB03C9" w:rsidRPr="00312C02" w:rsidRDefault="4A29D620" w:rsidP="419F5095">
      <w:pPr>
        <w:rPr>
          <w:b/>
        </w:rPr>
      </w:pPr>
      <w:r w:rsidRPr="00312C02">
        <w:rPr>
          <w:b/>
        </w:rPr>
        <w:t>Deemed:</w:t>
      </w:r>
    </w:p>
    <w:p w14:paraId="1AA768F6" w14:textId="145A9F23" w:rsidR="00DB03C9" w:rsidRDefault="630B840B" w:rsidP="419F5095">
      <w:pPr>
        <w:jc w:val="center"/>
      </w:pPr>
      <w:r>
        <w:rPr>
          <w:noProof/>
        </w:rPr>
        <w:lastRenderedPageBreak/>
        <w:drawing>
          <wp:inline distT="0" distB="0" distL="0" distR="0" wp14:anchorId="5A9FCDD0" wp14:editId="49A31D5C">
            <wp:extent cx="6400800" cy="2514600"/>
            <wp:effectExtent l="0" t="0" r="0" b="0"/>
            <wp:docPr id="1254002021" name="Picture 12540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002021"/>
                    <pic:cNvPicPr/>
                  </pic:nvPicPr>
                  <pic:blipFill>
                    <a:blip r:embed="rId14">
                      <a:extLst>
                        <a:ext uri="{28A0092B-C50C-407E-A947-70E740481C1C}">
                          <a14:useLocalDpi xmlns:a14="http://schemas.microsoft.com/office/drawing/2010/main" val="0"/>
                        </a:ext>
                      </a:extLst>
                    </a:blip>
                    <a:stretch>
                      <a:fillRect/>
                    </a:stretch>
                  </pic:blipFill>
                  <pic:spPr>
                    <a:xfrm>
                      <a:off x="0" y="0"/>
                      <a:ext cx="6400800" cy="2514600"/>
                    </a:xfrm>
                    <a:prstGeom prst="rect">
                      <a:avLst/>
                    </a:prstGeom>
                  </pic:spPr>
                </pic:pic>
              </a:graphicData>
            </a:graphic>
          </wp:inline>
        </w:drawing>
      </w:r>
    </w:p>
    <w:p w14:paraId="2C720405" w14:textId="6F8413C9" w:rsidR="43C16428" w:rsidRDefault="43C16428" w:rsidP="00427358">
      <w:pPr>
        <w:jc w:val="center"/>
      </w:pPr>
    </w:p>
    <w:p w14:paraId="2CD202D7" w14:textId="6945110B" w:rsidR="00DB03C9" w:rsidRPr="00F06A6E" w:rsidRDefault="00DB03C9" w:rsidP="00DB03C9">
      <w:pPr>
        <w:pStyle w:val="Heading2"/>
        <w:rPr>
          <w:sz w:val="24"/>
          <w:szCs w:val="24"/>
        </w:rPr>
      </w:pPr>
      <w:bookmarkStart w:id="51" w:name="_Toc8227885"/>
      <w:bookmarkStart w:id="52" w:name="_Toc57653971"/>
      <w:r w:rsidRPr="00F06A6E">
        <w:rPr>
          <w:sz w:val="24"/>
          <w:szCs w:val="24"/>
        </w:rPr>
        <w:t>4. Incentive Tables, Workpapers, Software Tools</w:t>
      </w:r>
      <w:bookmarkEnd w:id="51"/>
      <w:bookmarkEnd w:id="52"/>
    </w:p>
    <w:p w14:paraId="0FC3AAFB" w14:textId="27ADCF0F" w:rsidR="00DB03C9" w:rsidRPr="00A447A0" w:rsidRDefault="00DB03C9" w:rsidP="00DB03C9">
      <w:pPr>
        <w:rPr>
          <w:rStyle w:val="Hyperlink"/>
          <w:b/>
          <w:i/>
        </w:rPr>
      </w:pPr>
    </w:p>
    <w:p w14:paraId="288CA101" w14:textId="7BE57F3C" w:rsidR="001E276B" w:rsidRDefault="003D47FF" w:rsidP="00DB03C9">
      <w:r>
        <w:t>The Program’s</w:t>
      </w:r>
      <w:r w:rsidR="001E276B" w:rsidRPr="001E276B">
        <w:t xml:space="preserve"> incentive structure aligns with CPUC best practice guidance for performance-based programs while presenting understandable and manageable solutions for the broad group of customers this program will serve. Specifically, </w:t>
      </w:r>
      <w:r w:rsidR="0080299C">
        <w:t>the Program aligns</w:t>
      </w:r>
      <w:r w:rsidR="001E276B" w:rsidRPr="001E276B">
        <w:t xml:space="preserve"> incentives with lifecycle savings, promoting increasing degrees of efficiency, considering barrier the variation of different customers. Custom projects will be incentivized at a lower dollar-per-savings rate to account for the benefit of technical assistance in the form of project identification, scoping, and modeling.</w:t>
      </w:r>
      <w:r w:rsidR="00BF4078">
        <w:t xml:space="preserve"> Summary table below provides </w:t>
      </w:r>
      <w:r w:rsidR="00DE1B2D">
        <w:t>average</w:t>
      </w:r>
      <w:r w:rsidR="00540FF2">
        <w:t xml:space="preserve"> incentive levels offered in the Program.</w:t>
      </w:r>
    </w:p>
    <w:p w14:paraId="3E0FB202" w14:textId="77777777" w:rsidR="005B4A50" w:rsidRDefault="005B4A50" w:rsidP="00DB03C9"/>
    <w:tbl>
      <w:tblPr>
        <w:tblStyle w:val="CLEAResultTable"/>
        <w:tblW w:w="10079" w:type="dxa"/>
        <w:tblLook w:val="04A0" w:firstRow="1" w:lastRow="0" w:firstColumn="1" w:lastColumn="0" w:noHBand="0" w:noVBand="1"/>
      </w:tblPr>
      <w:tblGrid>
        <w:gridCol w:w="3048"/>
        <w:gridCol w:w="2209"/>
        <w:gridCol w:w="2209"/>
        <w:gridCol w:w="2613"/>
      </w:tblGrid>
      <w:tr w:rsidR="00DB03C9" w:rsidRPr="00FD738C" w14:paraId="48FE6017" w14:textId="77777777" w:rsidTr="0C33BC46">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048" w:type="dxa"/>
          </w:tcPr>
          <w:p w14:paraId="090A02EA" w14:textId="77777777" w:rsidR="00DB03C9" w:rsidRPr="00CB08C4" w:rsidRDefault="00DB03C9" w:rsidP="00DB03C9">
            <w:pPr>
              <w:jc w:val="center"/>
            </w:pPr>
            <w:r w:rsidRPr="00CB08C4">
              <w:t>Incentive Rates</w:t>
            </w:r>
          </w:p>
        </w:tc>
        <w:tc>
          <w:tcPr>
            <w:tcW w:w="2209" w:type="dxa"/>
          </w:tcPr>
          <w:p w14:paraId="601E7D35" w14:textId="5036DECE" w:rsidR="00DB03C9" w:rsidRPr="00CB08C4" w:rsidRDefault="00DB03C9" w:rsidP="00DB03C9">
            <w:pPr>
              <w:jc w:val="center"/>
              <w:cnfStyle w:val="100000000000" w:firstRow="1" w:lastRow="0" w:firstColumn="0" w:lastColumn="0" w:oddVBand="0" w:evenVBand="0" w:oddHBand="0" w:evenHBand="0" w:firstRowFirstColumn="0" w:firstRowLastColumn="0" w:lastRowFirstColumn="0" w:lastRowLastColumn="0"/>
            </w:pPr>
            <w:r w:rsidRPr="00CB08C4">
              <w:t>$/</w:t>
            </w:r>
            <w:r>
              <w:t>kW</w:t>
            </w:r>
          </w:p>
        </w:tc>
        <w:tc>
          <w:tcPr>
            <w:tcW w:w="2209" w:type="dxa"/>
          </w:tcPr>
          <w:p w14:paraId="1A6BF337" w14:textId="69808863" w:rsidR="60E71FC2" w:rsidRDefault="60E71FC2" w:rsidP="2368F44F">
            <w:pPr>
              <w:jc w:val="center"/>
              <w:cnfStyle w:val="100000000000" w:firstRow="1" w:lastRow="0" w:firstColumn="0" w:lastColumn="0" w:oddVBand="0" w:evenVBand="0" w:oddHBand="0" w:evenHBand="0" w:firstRowFirstColumn="0" w:firstRowLastColumn="0" w:lastRowFirstColumn="0" w:lastRowLastColumn="0"/>
            </w:pPr>
            <w:r>
              <w:t>$/kWh</w:t>
            </w:r>
          </w:p>
        </w:tc>
        <w:tc>
          <w:tcPr>
            <w:tcW w:w="2613" w:type="dxa"/>
          </w:tcPr>
          <w:p w14:paraId="0CB64EEC" w14:textId="77777777" w:rsidR="00DB03C9" w:rsidRPr="00CB08C4" w:rsidRDefault="00DB03C9" w:rsidP="00DB03C9">
            <w:pPr>
              <w:jc w:val="center"/>
              <w:cnfStyle w:val="100000000000" w:firstRow="1" w:lastRow="0" w:firstColumn="0" w:lastColumn="0" w:oddVBand="0" w:evenVBand="0" w:oddHBand="0" w:evenHBand="0" w:firstRowFirstColumn="0" w:firstRowLastColumn="0" w:lastRowFirstColumn="0" w:lastRowLastColumn="0"/>
            </w:pPr>
            <w:r w:rsidRPr="00CB08C4">
              <w:t>$/therm</w:t>
            </w:r>
          </w:p>
        </w:tc>
      </w:tr>
      <w:tr w:rsidR="00DB03C9" w:rsidRPr="00FD738C" w14:paraId="2F9D5FBB" w14:textId="77777777" w:rsidTr="0C33BC46">
        <w:trPr>
          <w:trHeight w:val="242"/>
        </w:trPr>
        <w:tc>
          <w:tcPr>
            <w:cnfStyle w:val="001000000000" w:firstRow="0" w:lastRow="0" w:firstColumn="1" w:lastColumn="0" w:oddVBand="0" w:evenVBand="0" w:oddHBand="0" w:evenHBand="0" w:firstRowFirstColumn="0" w:firstRowLastColumn="0" w:lastRowFirstColumn="0" w:lastRowLastColumn="0"/>
            <w:tcW w:w="3048" w:type="dxa"/>
            <w:shd w:val="clear" w:color="auto" w:fill="D9D9D9" w:themeFill="background2" w:themeFillShade="D9"/>
          </w:tcPr>
          <w:p w14:paraId="61B94093" w14:textId="7A6F9E2A" w:rsidR="00DB03C9" w:rsidRPr="00CB08C4" w:rsidRDefault="1457F016" w:rsidP="00DB03C9">
            <w:r>
              <w:t>Deemed</w:t>
            </w:r>
          </w:p>
        </w:tc>
        <w:tc>
          <w:tcPr>
            <w:tcW w:w="2209" w:type="dxa"/>
          </w:tcPr>
          <w:p w14:paraId="1AEF28A9" w14:textId="1689C290" w:rsidR="00DB03C9" w:rsidRPr="00CB08C4" w:rsidRDefault="1457F016" w:rsidP="00DB03C9">
            <w:pPr>
              <w:jc w:val="center"/>
              <w:cnfStyle w:val="000000000000" w:firstRow="0" w:lastRow="0" w:firstColumn="0" w:lastColumn="0" w:oddVBand="0" w:evenVBand="0" w:oddHBand="0" w:evenHBand="0" w:firstRowFirstColumn="0" w:firstRowLastColumn="0" w:lastRowFirstColumn="0" w:lastRowLastColumn="0"/>
            </w:pPr>
            <w:r>
              <w:t>$90</w:t>
            </w:r>
          </w:p>
        </w:tc>
        <w:tc>
          <w:tcPr>
            <w:tcW w:w="2209" w:type="dxa"/>
          </w:tcPr>
          <w:p w14:paraId="7B7317F3" w14:textId="458C13B8" w:rsidR="39C54FE6" w:rsidRDefault="39C54FE6" w:rsidP="2368F44F">
            <w:pPr>
              <w:jc w:val="center"/>
              <w:cnfStyle w:val="000000000000" w:firstRow="0" w:lastRow="0" w:firstColumn="0" w:lastColumn="0" w:oddVBand="0" w:evenVBand="0" w:oddHBand="0" w:evenHBand="0" w:firstRowFirstColumn="0" w:firstRowLastColumn="0" w:lastRowFirstColumn="0" w:lastRowLastColumn="0"/>
            </w:pPr>
            <w:r>
              <w:t>$0.08</w:t>
            </w:r>
          </w:p>
        </w:tc>
        <w:tc>
          <w:tcPr>
            <w:tcW w:w="2613" w:type="dxa"/>
          </w:tcPr>
          <w:p w14:paraId="63F7AC64" w14:textId="073031ED" w:rsidR="00DB03C9" w:rsidRPr="00CB08C4" w:rsidRDefault="39C54FE6" w:rsidP="00DB03C9">
            <w:pPr>
              <w:jc w:val="center"/>
              <w:cnfStyle w:val="000000000000" w:firstRow="0" w:lastRow="0" w:firstColumn="0" w:lastColumn="0" w:oddVBand="0" w:evenVBand="0" w:oddHBand="0" w:evenHBand="0" w:firstRowFirstColumn="0" w:firstRowLastColumn="0" w:lastRowFirstColumn="0" w:lastRowLastColumn="0"/>
            </w:pPr>
            <w:r>
              <w:t>$1.00</w:t>
            </w:r>
          </w:p>
        </w:tc>
      </w:tr>
      <w:tr w:rsidR="00DB03C9" w:rsidRPr="00FD738C" w14:paraId="5E6BF6AA" w14:textId="77777777" w:rsidTr="0C33BC46">
        <w:trPr>
          <w:trHeight w:val="242"/>
        </w:trPr>
        <w:tc>
          <w:tcPr>
            <w:cnfStyle w:val="001000000000" w:firstRow="0" w:lastRow="0" w:firstColumn="1" w:lastColumn="0" w:oddVBand="0" w:evenVBand="0" w:oddHBand="0" w:evenHBand="0" w:firstRowFirstColumn="0" w:firstRowLastColumn="0" w:lastRowFirstColumn="0" w:lastRowLastColumn="0"/>
            <w:tcW w:w="3048" w:type="dxa"/>
            <w:shd w:val="clear" w:color="auto" w:fill="D9D9D9" w:themeFill="background2" w:themeFillShade="D9"/>
          </w:tcPr>
          <w:p w14:paraId="436E55E3" w14:textId="59ED5BD0" w:rsidR="00DB03C9" w:rsidRPr="00CB08C4" w:rsidRDefault="1457F016" w:rsidP="00DB03C9">
            <w:r>
              <w:t>Custom</w:t>
            </w:r>
          </w:p>
        </w:tc>
        <w:tc>
          <w:tcPr>
            <w:tcW w:w="2209" w:type="dxa"/>
          </w:tcPr>
          <w:p w14:paraId="7AE1ADD8" w14:textId="71C5DEC4" w:rsidR="00DB03C9" w:rsidRPr="00CB08C4" w:rsidRDefault="1457F016" w:rsidP="00DB03C9">
            <w:pPr>
              <w:jc w:val="center"/>
              <w:cnfStyle w:val="000000000000" w:firstRow="0" w:lastRow="0" w:firstColumn="0" w:lastColumn="0" w:oddVBand="0" w:evenVBand="0" w:oddHBand="0" w:evenHBand="0" w:firstRowFirstColumn="0" w:firstRowLastColumn="0" w:lastRowFirstColumn="0" w:lastRowLastColumn="0"/>
            </w:pPr>
            <w:r>
              <w:t>$150</w:t>
            </w:r>
          </w:p>
        </w:tc>
        <w:tc>
          <w:tcPr>
            <w:tcW w:w="2209" w:type="dxa"/>
          </w:tcPr>
          <w:p w14:paraId="6EF54216" w14:textId="6CD219EF" w:rsidR="39C54FE6" w:rsidRDefault="39C54FE6" w:rsidP="2368F44F">
            <w:pPr>
              <w:jc w:val="center"/>
              <w:cnfStyle w:val="000000000000" w:firstRow="0" w:lastRow="0" w:firstColumn="0" w:lastColumn="0" w:oddVBand="0" w:evenVBand="0" w:oddHBand="0" w:evenHBand="0" w:firstRowFirstColumn="0" w:firstRowLastColumn="0" w:lastRowFirstColumn="0" w:lastRowLastColumn="0"/>
            </w:pPr>
            <w:r>
              <w:t>$0.14</w:t>
            </w:r>
          </w:p>
        </w:tc>
        <w:tc>
          <w:tcPr>
            <w:tcW w:w="2613" w:type="dxa"/>
          </w:tcPr>
          <w:p w14:paraId="3ED72324" w14:textId="2850E7C7" w:rsidR="00DB03C9" w:rsidRPr="00CB08C4" w:rsidRDefault="39C54FE6" w:rsidP="00DB03C9">
            <w:pPr>
              <w:jc w:val="center"/>
              <w:cnfStyle w:val="000000000000" w:firstRow="0" w:lastRow="0" w:firstColumn="0" w:lastColumn="0" w:oddVBand="0" w:evenVBand="0" w:oddHBand="0" w:evenHBand="0" w:firstRowFirstColumn="0" w:firstRowLastColumn="0" w:lastRowFirstColumn="0" w:lastRowLastColumn="0"/>
            </w:pPr>
            <w:r>
              <w:t>$1.43</w:t>
            </w:r>
          </w:p>
        </w:tc>
      </w:tr>
    </w:tbl>
    <w:p w14:paraId="22E63A85" w14:textId="77777777" w:rsidR="00DB03C9" w:rsidRPr="00CB08C4" w:rsidRDefault="00DB03C9" w:rsidP="00DB03C9">
      <w:pPr>
        <w:spacing w:line="240" w:lineRule="auto"/>
        <w:jc w:val="center"/>
        <w:rPr>
          <w:b/>
          <w:color w:val="FFFFFF" w:themeColor="background1"/>
          <w:szCs w:val="16"/>
          <w:lang w:eastAsia="zh-CN"/>
        </w:rPr>
      </w:pPr>
    </w:p>
    <w:p w14:paraId="4CB4B2EE" w14:textId="58C89CA7" w:rsidR="00BF4078" w:rsidRDefault="008D634F" w:rsidP="00BF4078">
      <w:r>
        <w:t>The Program does</w:t>
      </w:r>
      <w:r w:rsidR="00BF4078" w:rsidRPr="00566616">
        <w:t xml:space="preserve"> not anticipate a significant amount of deemed measures from this sector and have therefore modeled the Program accordingly. However, </w:t>
      </w:r>
      <w:r w:rsidR="00FB7683">
        <w:t>to the Program will</w:t>
      </w:r>
      <w:r w:rsidR="00BF4078" w:rsidRPr="00566616">
        <w:t xml:space="preserve"> support current and future deemed workpapers aligned with</w:t>
      </w:r>
      <w:r w:rsidR="00BF4078">
        <w:t xml:space="preserve"> </w:t>
      </w:r>
      <w:r w:rsidR="00BF4078" w:rsidRPr="00566616">
        <w:t xml:space="preserve">market needs to better serve PG&amp;E customers. </w:t>
      </w:r>
      <w:r w:rsidR="00BF4078">
        <w:t xml:space="preserve">Deemed </w:t>
      </w:r>
      <w:r w:rsidR="00BF4078" w:rsidRPr="005B4A50">
        <w:t xml:space="preserve">measures included in our </w:t>
      </w:r>
      <w:r w:rsidR="00BF4078">
        <w:t>Program</w:t>
      </w:r>
      <w:r w:rsidR="00BF4078" w:rsidRPr="005B4A50">
        <w:t xml:space="preserve"> are ready for implementation at the time of program launch, with the following qualifications:</w:t>
      </w:r>
    </w:p>
    <w:p w14:paraId="4B414527" w14:textId="77777777" w:rsidR="00BF4078" w:rsidRDefault="00BF4078" w:rsidP="00BF4078">
      <w:pPr>
        <w:pStyle w:val="ListParagraph"/>
        <w:numPr>
          <w:ilvl w:val="0"/>
          <w:numId w:val="32"/>
        </w:numPr>
      </w:pPr>
      <w:r w:rsidRPr="000F0135">
        <w:rPr>
          <w:color w:val="000000"/>
        </w:rPr>
        <w:t>SWWH017-01 Hot Water Pipe Insulation, Nonresidential</w:t>
      </w:r>
      <w:r>
        <w:rPr>
          <w:color w:val="000000"/>
        </w:rPr>
        <w:t xml:space="preserve"> (Rev 1): </w:t>
      </w:r>
      <w:hyperlink r:id="rId15" w:history="1">
        <w:r>
          <w:rPr>
            <w:rStyle w:val="Hyperlink"/>
          </w:rPr>
          <w:t>DEER</w:t>
        </w:r>
      </w:hyperlink>
      <w:r>
        <w:t xml:space="preserve"> </w:t>
      </w:r>
      <w:r w:rsidRPr="00584793">
        <w:t>http://www.deeresources.net/workpapers</w:t>
      </w:r>
    </w:p>
    <w:p w14:paraId="52580029" w14:textId="77777777" w:rsidR="00DB03C9" w:rsidRPr="006032C9" w:rsidRDefault="00DB03C9" w:rsidP="00DB03C9">
      <w:pPr>
        <w:rPr>
          <w:caps/>
        </w:rPr>
      </w:pPr>
    </w:p>
    <w:p w14:paraId="150B0063" w14:textId="19ABD00E" w:rsidR="00DB03C9" w:rsidRPr="00F06A6E" w:rsidRDefault="00DB03C9" w:rsidP="00DB03C9">
      <w:pPr>
        <w:pStyle w:val="Heading2"/>
        <w:rPr>
          <w:sz w:val="24"/>
          <w:szCs w:val="24"/>
        </w:rPr>
      </w:pPr>
      <w:bookmarkStart w:id="53" w:name="_Toc8227886"/>
      <w:bookmarkStart w:id="54" w:name="_Toc57653972"/>
      <w:r w:rsidRPr="00F06A6E">
        <w:rPr>
          <w:sz w:val="24"/>
          <w:szCs w:val="24"/>
        </w:rPr>
        <w:t>5. Quantitative Program Targets</w:t>
      </w:r>
      <w:bookmarkEnd w:id="53"/>
      <w:bookmarkEnd w:id="54"/>
    </w:p>
    <w:p w14:paraId="621A811F" w14:textId="0C968663" w:rsidR="00DB03C9" w:rsidRPr="009022C8" w:rsidRDefault="00DB03C9" w:rsidP="00DB03C9">
      <w:pPr>
        <w:rPr>
          <w:b/>
          <w:bCs/>
          <w:i/>
          <w:iCs/>
        </w:rPr>
      </w:pPr>
      <w:r w:rsidRPr="7D510BA8">
        <w:rPr>
          <w:b/>
          <w:bCs/>
          <w:i/>
          <w:iCs/>
        </w:rPr>
        <w:t xml:space="preserve"> </w:t>
      </w:r>
    </w:p>
    <w:p w14:paraId="59F4F831" w14:textId="27100121" w:rsidR="46A06856" w:rsidRDefault="46A06856" w:rsidP="7D510BA8">
      <w:r>
        <w:t>The targets provided herein are best estimates, but nonetheless are forecasts contingent on many factors.</w:t>
      </w:r>
    </w:p>
    <w:p w14:paraId="63E9F9BB" w14:textId="77777777" w:rsidR="00DB03C9" w:rsidRDefault="00DB03C9" w:rsidP="00DB03C9"/>
    <w:tbl>
      <w:tblPr>
        <w:tblStyle w:val="CLEAResultTable"/>
        <w:tblW w:w="0" w:type="auto"/>
        <w:tblLook w:val="04A0" w:firstRow="1" w:lastRow="0" w:firstColumn="1" w:lastColumn="0" w:noHBand="0" w:noVBand="1"/>
      </w:tblPr>
      <w:tblGrid>
        <w:gridCol w:w="2245"/>
        <w:gridCol w:w="2045"/>
        <w:gridCol w:w="2064"/>
        <w:gridCol w:w="1858"/>
        <w:gridCol w:w="1858"/>
      </w:tblGrid>
      <w:tr w:rsidR="00DB03C9" w:rsidRPr="00035C2C" w14:paraId="6BB3E8EE" w14:textId="77777777" w:rsidTr="00DB0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1E6C4D" w14:textId="77777777" w:rsidR="00DB03C9" w:rsidRPr="00CB08C4" w:rsidRDefault="00DB03C9" w:rsidP="00DB03C9">
            <w:pPr>
              <w:pStyle w:val="Default"/>
              <w:jc w:val="center"/>
              <w:rPr>
                <w:rFonts w:ascii="Arial" w:hAnsi="Arial" w:cs="Arial"/>
                <w:bCs/>
                <w:color w:val="FFFFFF" w:themeColor="background1"/>
                <w:sz w:val="20"/>
                <w:szCs w:val="20"/>
              </w:rPr>
            </w:pPr>
            <w:r>
              <w:rPr>
                <w:rFonts w:ascii="Arial" w:hAnsi="Arial" w:cs="Arial"/>
                <w:bCs/>
                <w:color w:val="FFFFFF" w:themeColor="background1"/>
                <w:sz w:val="20"/>
                <w:szCs w:val="20"/>
              </w:rPr>
              <w:t>Category</w:t>
            </w:r>
          </w:p>
        </w:tc>
        <w:tc>
          <w:tcPr>
            <w:tcW w:w="2045" w:type="dxa"/>
          </w:tcPr>
          <w:p w14:paraId="042D98FF" w14:textId="0F0A2546" w:rsidR="00DB03C9" w:rsidRPr="00CB08C4" w:rsidRDefault="00DB03C9" w:rsidP="00DB03C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r>
              <w:rPr>
                <w:rFonts w:ascii="Arial" w:hAnsi="Arial" w:cs="Arial"/>
                <w:bCs/>
                <w:color w:val="FFFFFF" w:themeColor="background1"/>
                <w:sz w:val="20"/>
                <w:szCs w:val="20"/>
              </w:rPr>
              <w:t>20</w:t>
            </w:r>
            <w:r w:rsidR="00A447A0">
              <w:rPr>
                <w:rFonts w:ascii="Arial" w:hAnsi="Arial" w:cs="Arial"/>
                <w:bCs/>
                <w:color w:val="FFFFFF" w:themeColor="background1"/>
                <w:sz w:val="20"/>
                <w:szCs w:val="20"/>
              </w:rPr>
              <w:t>21</w:t>
            </w:r>
          </w:p>
        </w:tc>
        <w:tc>
          <w:tcPr>
            <w:tcW w:w="2064" w:type="dxa"/>
          </w:tcPr>
          <w:p w14:paraId="64532C00" w14:textId="4D85161D" w:rsidR="00DB03C9" w:rsidRPr="00CB08C4" w:rsidRDefault="00DB03C9" w:rsidP="00DB03C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r>
              <w:rPr>
                <w:rFonts w:ascii="Arial" w:hAnsi="Arial" w:cs="Arial"/>
                <w:bCs/>
                <w:color w:val="FFFFFF" w:themeColor="background1"/>
                <w:sz w:val="20"/>
                <w:szCs w:val="20"/>
              </w:rPr>
              <w:t>202</w:t>
            </w:r>
            <w:r w:rsidR="00A447A0">
              <w:rPr>
                <w:rFonts w:ascii="Arial" w:hAnsi="Arial" w:cs="Arial"/>
                <w:bCs/>
                <w:color w:val="FFFFFF" w:themeColor="background1"/>
                <w:sz w:val="20"/>
                <w:szCs w:val="20"/>
              </w:rPr>
              <w:t>2</w:t>
            </w:r>
          </w:p>
        </w:tc>
        <w:tc>
          <w:tcPr>
            <w:tcW w:w="1858" w:type="dxa"/>
          </w:tcPr>
          <w:p w14:paraId="65CBF322" w14:textId="06B3825A" w:rsidR="00DB03C9" w:rsidRDefault="00DB03C9" w:rsidP="00DB03C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r>
              <w:rPr>
                <w:rFonts w:ascii="Arial" w:hAnsi="Arial" w:cs="Arial"/>
                <w:bCs/>
                <w:color w:val="FFFFFF" w:themeColor="background1"/>
                <w:sz w:val="20"/>
                <w:szCs w:val="20"/>
              </w:rPr>
              <w:t>202</w:t>
            </w:r>
            <w:r w:rsidR="00A447A0">
              <w:rPr>
                <w:rFonts w:ascii="Arial" w:hAnsi="Arial" w:cs="Arial"/>
                <w:bCs/>
                <w:color w:val="FFFFFF" w:themeColor="background1"/>
                <w:sz w:val="20"/>
                <w:szCs w:val="20"/>
              </w:rPr>
              <w:t>3</w:t>
            </w:r>
          </w:p>
        </w:tc>
        <w:tc>
          <w:tcPr>
            <w:tcW w:w="1858" w:type="dxa"/>
          </w:tcPr>
          <w:p w14:paraId="5C3B5836" w14:textId="77777777" w:rsidR="00DB03C9" w:rsidRDefault="00DB03C9" w:rsidP="00DB03C9">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r>
              <w:rPr>
                <w:rFonts w:ascii="Arial" w:hAnsi="Arial" w:cs="Arial"/>
                <w:bCs/>
                <w:color w:val="FFFFFF" w:themeColor="background1"/>
                <w:sz w:val="20"/>
                <w:szCs w:val="20"/>
              </w:rPr>
              <w:t>Total</w:t>
            </w:r>
          </w:p>
        </w:tc>
      </w:tr>
      <w:tr w:rsidR="00DB03C9" w:rsidRPr="00035C2C" w14:paraId="1038CB2A" w14:textId="77777777" w:rsidTr="0C33BC46">
        <w:tc>
          <w:tcPr>
            <w:cnfStyle w:val="001000000000" w:firstRow="0" w:lastRow="0" w:firstColumn="1" w:lastColumn="0" w:oddVBand="0" w:evenVBand="0" w:oddHBand="0" w:evenHBand="0" w:firstRowFirstColumn="0" w:firstRowLastColumn="0" w:lastRowFirstColumn="0" w:lastRowLastColumn="0"/>
            <w:tcW w:w="2245" w:type="dxa"/>
            <w:shd w:val="clear" w:color="auto" w:fill="D9D9D9" w:themeFill="background2" w:themeFillShade="D9"/>
          </w:tcPr>
          <w:p w14:paraId="6FFBE014" w14:textId="77777777" w:rsidR="00DB03C9" w:rsidRPr="00CB08C4" w:rsidRDefault="00DB03C9" w:rsidP="00DB03C9">
            <w:pPr>
              <w:pStyle w:val="Default"/>
              <w:rPr>
                <w:rFonts w:ascii="Arial" w:hAnsi="Arial" w:cs="Arial"/>
                <w:sz w:val="20"/>
                <w:szCs w:val="20"/>
              </w:rPr>
            </w:pPr>
            <w:r>
              <w:rPr>
                <w:rFonts w:ascii="Arial" w:hAnsi="Arial" w:cs="Arial"/>
                <w:sz w:val="20"/>
                <w:szCs w:val="20"/>
              </w:rPr>
              <w:t># of Projects</w:t>
            </w:r>
          </w:p>
        </w:tc>
        <w:tc>
          <w:tcPr>
            <w:tcW w:w="2045" w:type="dxa"/>
          </w:tcPr>
          <w:p w14:paraId="2CD05594" w14:textId="388099ED" w:rsidR="00DB03C9" w:rsidRPr="00CB08C4" w:rsidRDefault="00DC34E9" w:rsidP="00DB03C9">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w:t>
            </w:r>
          </w:p>
        </w:tc>
        <w:tc>
          <w:tcPr>
            <w:tcW w:w="2064" w:type="dxa"/>
          </w:tcPr>
          <w:p w14:paraId="4F6FE169" w14:textId="389DF842" w:rsidR="00DB03C9" w:rsidRPr="00CB08C4" w:rsidRDefault="00DC34E9" w:rsidP="00DB03C9">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81</w:t>
            </w:r>
          </w:p>
        </w:tc>
        <w:tc>
          <w:tcPr>
            <w:tcW w:w="1858" w:type="dxa"/>
          </w:tcPr>
          <w:p w14:paraId="12276066" w14:textId="1F49C9AE" w:rsidR="00DB03C9" w:rsidRPr="00CB08C4" w:rsidRDefault="00DC34E9" w:rsidP="00DB03C9">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99</w:t>
            </w:r>
          </w:p>
        </w:tc>
        <w:tc>
          <w:tcPr>
            <w:tcW w:w="1858" w:type="dxa"/>
          </w:tcPr>
          <w:p w14:paraId="0BA9E813" w14:textId="6CCAD98C" w:rsidR="00DB03C9" w:rsidRPr="00CB08C4" w:rsidRDefault="00612EB7" w:rsidP="00DB03C9">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234</w:t>
            </w:r>
          </w:p>
        </w:tc>
      </w:tr>
    </w:tbl>
    <w:p w14:paraId="6E5D218F" w14:textId="77777777" w:rsidR="00DB03C9" w:rsidRPr="00D87623" w:rsidRDefault="00DB03C9" w:rsidP="00DB03C9"/>
    <w:p w14:paraId="05DD4A30" w14:textId="6F5962A1" w:rsidR="00DB03C9" w:rsidRPr="00F06A6E" w:rsidRDefault="00DB03C9" w:rsidP="00DB03C9">
      <w:pPr>
        <w:pStyle w:val="Heading2"/>
        <w:rPr>
          <w:sz w:val="24"/>
          <w:szCs w:val="24"/>
        </w:rPr>
      </w:pPr>
      <w:bookmarkStart w:id="55" w:name="_Toc8227887"/>
      <w:bookmarkStart w:id="56" w:name="_Toc57653973"/>
      <w:r w:rsidRPr="00F06A6E">
        <w:rPr>
          <w:sz w:val="24"/>
          <w:szCs w:val="24"/>
        </w:rPr>
        <w:lastRenderedPageBreak/>
        <w:t>6. Diagram of Program</w:t>
      </w:r>
      <w:bookmarkEnd w:id="55"/>
      <w:bookmarkEnd w:id="56"/>
      <w:r w:rsidRPr="00F06A6E">
        <w:rPr>
          <w:sz w:val="24"/>
          <w:szCs w:val="24"/>
        </w:rPr>
        <w:t xml:space="preserve"> </w:t>
      </w:r>
    </w:p>
    <w:p w14:paraId="73CE8A97" w14:textId="5E08B8A5" w:rsidR="00DB03C9" w:rsidRPr="00A447A0" w:rsidRDefault="00DB03C9" w:rsidP="00AD18E9">
      <w:pPr>
        <w:ind w:left="720"/>
        <w:rPr>
          <w:b/>
          <w:i/>
          <w:iCs/>
        </w:rPr>
      </w:pPr>
    </w:p>
    <w:p w14:paraId="3A4FF383" w14:textId="66373A1D" w:rsidR="4B83ED55" w:rsidRDefault="5F32CCD0" w:rsidP="43C16428">
      <w:r>
        <w:rPr>
          <w:noProof/>
        </w:rPr>
        <w:drawing>
          <wp:inline distT="0" distB="0" distL="0" distR="0" wp14:anchorId="32AF00F4" wp14:editId="010F15C4">
            <wp:extent cx="6400800" cy="3676650"/>
            <wp:effectExtent l="0" t="0" r="0" b="0"/>
            <wp:docPr id="185408016" name="Picture 18540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08016"/>
                    <pic:cNvPicPr/>
                  </pic:nvPicPr>
                  <pic:blipFill>
                    <a:blip r:embed="rId16">
                      <a:extLst>
                        <a:ext uri="{28A0092B-C50C-407E-A947-70E740481C1C}">
                          <a14:useLocalDpi xmlns:a14="http://schemas.microsoft.com/office/drawing/2010/main" val="0"/>
                        </a:ext>
                      </a:extLst>
                    </a:blip>
                    <a:stretch>
                      <a:fillRect/>
                    </a:stretch>
                  </pic:blipFill>
                  <pic:spPr>
                    <a:xfrm>
                      <a:off x="0" y="0"/>
                      <a:ext cx="6400800" cy="3676650"/>
                    </a:xfrm>
                    <a:prstGeom prst="rect">
                      <a:avLst/>
                    </a:prstGeom>
                  </pic:spPr>
                </pic:pic>
              </a:graphicData>
            </a:graphic>
          </wp:inline>
        </w:drawing>
      </w:r>
    </w:p>
    <w:p w14:paraId="205D4357" w14:textId="34395CE5" w:rsidR="00DB03C9" w:rsidRDefault="00DB03C9" w:rsidP="00DB03C9">
      <w:pPr>
        <w:pStyle w:val="Heading2"/>
        <w:rPr>
          <w:sz w:val="24"/>
          <w:szCs w:val="24"/>
        </w:rPr>
      </w:pPr>
      <w:bookmarkStart w:id="57" w:name="_Toc8227888"/>
      <w:bookmarkStart w:id="58" w:name="_Toc57653974"/>
      <w:r w:rsidRPr="00F06A6E">
        <w:rPr>
          <w:sz w:val="24"/>
          <w:szCs w:val="24"/>
        </w:rPr>
        <w:t xml:space="preserve">7. </w:t>
      </w:r>
      <w:bookmarkEnd w:id="57"/>
      <w:r w:rsidR="00AD18E9">
        <w:rPr>
          <w:sz w:val="24"/>
          <w:szCs w:val="24"/>
        </w:rPr>
        <w:t>Evaluation, Measurement &amp; Verification (EM&amp;V)</w:t>
      </w:r>
      <w:bookmarkEnd w:id="58"/>
    </w:p>
    <w:p w14:paraId="6A5AFB23" w14:textId="00C83299" w:rsidR="002D7B43" w:rsidRPr="00D97923" w:rsidRDefault="007477C3" w:rsidP="00D97923">
      <w:pPr>
        <w:rPr>
          <w:b/>
          <w:i/>
          <w:iCs/>
        </w:rPr>
      </w:pPr>
      <w:r>
        <w:rPr>
          <w:b/>
          <w:i/>
          <w:iCs/>
        </w:rPr>
        <w:t xml:space="preserve"> </w:t>
      </w:r>
    </w:p>
    <w:p w14:paraId="3A887FD5" w14:textId="49D92833" w:rsidR="002E0EC1" w:rsidRPr="00D97923" w:rsidRDefault="00690BA8" w:rsidP="00D97923">
      <w:r w:rsidRPr="00D97923">
        <w:t>The Program</w:t>
      </w:r>
      <w:r w:rsidR="004A0873" w:rsidRPr="00D97923">
        <w:t xml:space="preserve"> </w:t>
      </w:r>
      <w:r w:rsidR="008E49DB" w:rsidRPr="00D97923">
        <w:t xml:space="preserve">will track and manage program data using our Salesforce-enabled platform, currently used to support energy efficiency programs for more than 50 utilities nationwide. </w:t>
      </w:r>
      <w:r w:rsidRPr="00D97923">
        <w:t>The Program’s</w:t>
      </w:r>
      <w:r w:rsidR="002E0EC1" w:rsidRPr="00D97923">
        <w:t xml:space="preserve"> platform will benefit all aspects of Program delivery</w:t>
      </w:r>
      <w:r w:rsidR="00230863" w:rsidRPr="00D97923">
        <w:t xml:space="preserve"> and evaluation activity</w:t>
      </w:r>
      <w:r w:rsidR="002E0EC1" w:rsidRPr="00D97923">
        <w:t>, including:</w:t>
      </w:r>
    </w:p>
    <w:p w14:paraId="219CD15E" w14:textId="13A3AD9E" w:rsidR="002E0EC1" w:rsidRDefault="002E0EC1" w:rsidP="002E0EC1">
      <w:pPr>
        <w:pStyle w:val="ListParagraph"/>
        <w:numPr>
          <w:ilvl w:val="0"/>
          <w:numId w:val="32"/>
        </w:numPr>
      </w:pPr>
      <w:r>
        <w:t>Existing integration with PG&amp;E’s Energy Insight platform to enable pipeline sharing and easy access to portfolio-wide data</w:t>
      </w:r>
    </w:p>
    <w:p w14:paraId="1818C576" w14:textId="36D20AA8" w:rsidR="002E0EC1" w:rsidRDefault="002E0EC1" w:rsidP="002E0EC1">
      <w:pPr>
        <w:pStyle w:val="ListParagraph"/>
        <w:numPr>
          <w:ilvl w:val="0"/>
          <w:numId w:val="32"/>
        </w:numPr>
      </w:pPr>
      <w:r>
        <w:t>Project tracking from initial site assessments to completion and, if applicable, performance monitoring – informing all program stakeholder communication and providing a centralized foundation for program tracking</w:t>
      </w:r>
    </w:p>
    <w:p w14:paraId="2BE5F6DA" w14:textId="01230F17" w:rsidR="002E0EC1" w:rsidRDefault="002E0EC1" w:rsidP="002E0EC1">
      <w:pPr>
        <w:pStyle w:val="ListParagraph"/>
        <w:numPr>
          <w:ilvl w:val="0"/>
          <w:numId w:val="32"/>
        </w:numPr>
      </w:pPr>
      <w:r>
        <w:t>Flexible reporting that unlocks meaningful data such as weekly, monthly and year-to-date production totals, daily pipeline volume/status and wait time, customer contact information, customer acquisition at each stage (work in progress, backlog and cancelled pending), participation by measure, QA/QC performance, and customer satisfaction scores</w:t>
      </w:r>
    </w:p>
    <w:p w14:paraId="6C319F3E" w14:textId="27100121" w:rsidR="002E0EC1" w:rsidRDefault="002E0EC1" w:rsidP="002E0EC1">
      <w:pPr>
        <w:pStyle w:val="ListParagraph"/>
        <w:numPr>
          <w:ilvl w:val="0"/>
          <w:numId w:val="32"/>
        </w:numPr>
      </w:pPr>
      <w:r>
        <w:t>Secure, role-based access that improves data integrity, reduces errors and prevents unauthorized access</w:t>
      </w:r>
    </w:p>
    <w:p w14:paraId="269EAE34" w14:textId="7E020D89" w:rsidR="0066677D" w:rsidRDefault="00185B41" w:rsidP="0066677D">
      <w:r>
        <w:t>Program’s</w:t>
      </w:r>
      <w:r w:rsidR="0066677D" w:rsidRPr="0066677D">
        <w:t xml:space="preserve"> Engineering QA/Policy team regularly tracks and communicates policy changes across the company using consistent methods. This regular dissemination of CPUC, utility, and CLEAResult-approved protocol empowers our staff to make concise and fiscally appropriate judgements when evaluating opportunities. Prior to investment of significant time or capital, potential projects receive high-level evaluation by members of the Engineering QA/Policy team. This “pass/fail” method allows </w:t>
      </w:r>
      <w:r>
        <w:t>the Program</w:t>
      </w:r>
      <w:r w:rsidR="0066677D" w:rsidRPr="0066677D">
        <w:t xml:space="preserve"> to concentrate efforts on opportunities that can </w:t>
      </w:r>
      <w:r w:rsidR="00C219B1">
        <w:t>overcome</w:t>
      </w:r>
      <w:r w:rsidR="0066677D" w:rsidRPr="0066677D">
        <w:t xml:space="preserve"> regulatory hurdles and garner </w:t>
      </w:r>
      <w:r w:rsidR="004E35B9">
        <w:t>cost-effective</w:t>
      </w:r>
      <w:r w:rsidR="0066677D" w:rsidRPr="0066677D">
        <w:t xml:space="preserve"> savings</w:t>
      </w:r>
      <w:r w:rsidR="00025EEC">
        <w:t>. Th</w:t>
      </w:r>
      <w:r w:rsidR="003F6280">
        <w:t xml:space="preserve">ese internal performance analysis during deployment </w:t>
      </w:r>
      <w:r w:rsidR="00025EEC">
        <w:t>support</w:t>
      </w:r>
      <w:r w:rsidR="003F6280">
        <w:t>s</w:t>
      </w:r>
      <w:r w:rsidR="00025EEC">
        <w:t xml:space="preserve"> evaluation </w:t>
      </w:r>
      <w:r w:rsidR="00716EAC">
        <w:t xml:space="preserve">criteria </w:t>
      </w:r>
      <w:r w:rsidR="00357EAF">
        <w:t>and compliance</w:t>
      </w:r>
      <w:r w:rsidR="0066677D" w:rsidRPr="0066677D">
        <w:t>.</w:t>
      </w:r>
    </w:p>
    <w:p w14:paraId="14A2992C" w14:textId="77777777" w:rsidR="00273376" w:rsidRDefault="00273376" w:rsidP="00273376">
      <w:r>
        <w:t>Upon a project officially being selected for advancement, data collection and measurement activities ensue with initial outlining of appropriate measure and baseline information.  The following activities will be gathered or estimated for baseline, industry/code/customer standard practice, and proposed energy efficient equipment:</w:t>
      </w:r>
    </w:p>
    <w:p w14:paraId="3CDAEE79" w14:textId="77777777" w:rsidR="00273376" w:rsidRDefault="00273376" w:rsidP="00273376">
      <w:pPr>
        <w:pStyle w:val="ListParagraph"/>
        <w:numPr>
          <w:ilvl w:val="0"/>
          <w:numId w:val="37"/>
        </w:numPr>
      </w:pPr>
      <w:r>
        <w:lastRenderedPageBreak/>
        <w:t>Equipment specifications including estimated useful life (EUL) and remaining useful life (RUL).</w:t>
      </w:r>
    </w:p>
    <w:p w14:paraId="35FB685B" w14:textId="77777777" w:rsidR="00273376" w:rsidRDefault="00273376" w:rsidP="00273376">
      <w:pPr>
        <w:pStyle w:val="ListParagraph"/>
        <w:numPr>
          <w:ilvl w:val="0"/>
          <w:numId w:val="37"/>
        </w:numPr>
      </w:pPr>
      <w:r>
        <w:t>Energy consumption (source type, units of quantity) and hours of operation.</w:t>
      </w:r>
    </w:p>
    <w:p w14:paraId="08DF4114" w14:textId="6154ECFA" w:rsidR="00273376" w:rsidRDefault="00273376" w:rsidP="00273376">
      <w:pPr>
        <w:pStyle w:val="ListParagraph"/>
        <w:numPr>
          <w:ilvl w:val="0"/>
          <w:numId w:val="37"/>
        </w:numPr>
      </w:pPr>
      <w:r>
        <w:t xml:space="preserve">Review on-site generation where applicable to determine eligible energy savings that reduce energy supplied from the grid. </w:t>
      </w:r>
    </w:p>
    <w:p w14:paraId="77D063D2" w14:textId="77777777" w:rsidR="00273376" w:rsidRDefault="00273376" w:rsidP="00273376">
      <w:pPr>
        <w:pStyle w:val="ListParagraph"/>
        <w:numPr>
          <w:ilvl w:val="0"/>
          <w:numId w:val="37"/>
        </w:numPr>
      </w:pPr>
      <w:r>
        <w:t>Measure costs to determine eligible costs (material cost of equipment, operation &amp; maintenance, removal/demolition, permitting, freight, project development).</w:t>
      </w:r>
    </w:p>
    <w:p w14:paraId="10925B0A" w14:textId="77777777" w:rsidR="00273376" w:rsidRDefault="00273376" w:rsidP="00273376">
      <w:pPr>
        <w:pStyle w:val="ListParagraph"/>
        <w:numPr>
          <w:ilvl w:val="0"/>
          <w:numId w:val="37"/>
        </w:numPr>
      </w:pPr>
      <w:r>
        <w:t>Other data and factors (weather, process temperatures, production) that may impact the energy usage.</w:t>
      </w:r>
    </w:p>
    <w:p w14:paraId="59BB49E6" w14:textId="247489AE" w:rsidR="00273376" w:rsidRDefault="00273376" w:rsidP="00273376">
      <w:r>
        <w:t>Verification and internal review of the information collected shall verify the measure eligibility:</w:t>
      </w:r>
    </w:p>
    <w:p w14:paraId="010EF066" w14:textId="77777777" w:rsidR="00273376" w:rsidRDefault="00273376" w:rsidP="00273376">
      <w:pPr>
        <w:pStyle w:val="ListParagraph"/>
        <w:numPr>
          <w:ilvl w:val="0"/>
          <w:numId w:val="38"/>
        </w:numPr>
      </w:pPr>
      <w:r>
        <w:t>Does not overlap with other incentive programs</w:t>
      </w:r>
    </w:p>
    <w:p w14:paraId="3529257D" w14:textId="77777777" w:rsidR="00273376" w:rsidRDefault="00273376" w:rsidP="00273376">
      <w:pPr>
        <w:pStyle w:val="ListParagraph"/>
        <w:numPr>
          <w:ilvl w:val="0"/>
          <w:numId w:val="38"/>
        </w:numPr>
      </w:pPr>
      <w:r>
        <w:t>Exceeds baseline energy performance and regressive baseline is not used</w:t>
      </w:r>
    </w:p>
    <w:p w14:paraId="068FFB3D" w14:textId="77777777" w:rsidR="00273376" w:rsidRDefault="00273376" w:rsidP="00273376">
      <w:pPr>
        <w:pStyle w:val="ListParagraph"/>
        <w:numPr>
          <w:ilvl w:val="0"/>
          <w:numId w:val="38"/>
        </w:numPr>
      </w:pPr>
      <w:r>
        <w:t>Proposed equipment provides equivalent level of service</w:t>
      </w:r>
    </w:p>
    <w:p w14:paraId="5CA6156F" w14:textId="77777777" w:rsidR="00273376" w:rsidRDefault="00273376" w:rsidP="00273376">
      <w:pPr>
        <w:pStyle w:val="ListParagraph"/>
        <w:numPr>
          <w:ilvl w:val="0"/>
          <w:numId w:val="38"/>
        </w:numPr>
      </w:pPr>
      <w:r>
        <w:t>Incremental measure cost is greater than zero</w:t>
      </w:r>
    </w:p>
    <w:p w14:paraId="6A912358" w14:textId="77777777" w:rsidR="00273376" w:rsidRDefault="00273376" w:rsidP="00273376">
      <w:pPr>
        <w:pStyle w:val="ListParagraph"/>
        <w:numPr>
          <w:ilvl w:val="0"/>
          <w:numId w:val="38"/>
        </w:numPr>
      </w:pPr>
      <w:r>
        <w:t>Custom project EUL must be greater than simple payback period</w:t>
      </w:r>
    </w:p>
    <w:p w14:paraId="5D05CB39" w14:textId="77777777" w:rsidR="00273376" w:rsidRDefault="00273376" w:rsidP="00273376">
      <w:pPr>
        <w:pStyle w:val="ListParagraph"/>
        <w:numPr>
          <w:ilvl w:val="0"/>
          <w:numId w:val="38"/>
        </w:numPr>
      </w:pPr>
      <w:r>
        <w:t>Installations adhere to federal, state, and local laws, building codes, manufacturer’s specifications, and permits</w:t>
      </w:r>
    </w:p>
    <w:p w14:paraId="425224E5" w14:textId="77777777" w:rsidR="00273376" w:rsidRDefault="00273376" w:rsidP="00273376">
      <w:pPr>
        <w:pStyle w:val="ListParagraph"/>
        <w:numPr>
          <w:ilvl w:val="0"/>
          <w:numId w:val="38"/>
        </w:numPr>
      </w:pPr>
      <w:r>
        <w:t>Applicable measure cost basis used for selected measure application type</w:t>
      </w:r>
    </w:p>
    <w:p w14:paraId="645E4134" w14:textId="77777777" w:rsidR="00273376" w:rsidRDefault="00273376" w:rsidP="00273376">
      <w:pPr>
        <w:pStyle w:val="ListParagraph"/>
        <w:numPr>
          <w:ilvl w:val="0"/>
          <w:numId w:val="38"/>
        </w:numPr>
      </w:pPr>
      <w:r>
        <w:t>Fuel substitution criteria and test is passed where applicable</w:t>
      </w:r>
    </w:p>
    <w:p w14:paraId="0EF843D5" w14:textId="77777777" w:rsidR="00273376" w:rsidRDefault="00273376" w:rsidP="00273376">
      <w:r>
        <w:t>To ensure that energy savings persist and meets program metrics, the following steps are imbedded in the program:</w:t>
      </w:r>
    </w:p>
    <w:p w14:paraId="654EF0FB" w14:textId="77777777" w:rsidR="00273376" w:rsidRDefault="00273376" w:rsidP="00273376">
      <w:pPr>
        <w:pStyle w:val="ListParagraph"/>
        <w:numPr>
          <w:ilvl w:val="0"/>
          <w:numId w:val="39"/>
        </w:numPr>
      </w:pPr>
      <w:r>
        <w:t>Confirmation that existing equipment is decommissioned and removed from site, or exception granted by PA prior to installation for Accelerated Replacement (AR) and Normal Replacement (NR) measures.</w:t>
      </w:r>
    </w:p>
    <w:p w14:paraId="207FCCA4" w14:textId="77777777" w:rsidR="00273376" w:rsidRDefault="00273376" w:rsidP="00273376">
      <w:pPr>
        <w:pStyle w:val="ListParagraph"/>
        <w:numPr>
          <w:ilvl w:val="0"/>
          <w:numId w:val="39"/>
        </w:numPr>
      </w:pPr>
      <w:r>
        <w:t>Confirmation of installation of new equipment or controls for AR, NR, Add-On Equipment (AOE), and New Construction (NC) measures.</w:t>
      </w:r>
    </w:p>
    <w:p w14:paraId="61DA61EE" w14:textId="77777777" w:rsidR="00273376" w:rsidRDefault="00273376" w:rsidP="00273376">
      <w:pPr>
        <w:pStyle w:val="ListParagraph"/>
        <w:numPr>
          <w:ilvl w:val="0"/>
          <w:numId w:val="39"/>
        </w:numPr>
      </w:pPr>
      <w:r>
        <w:t>Repair and re-deployment of existing equipment conducted as a Behavioral, Retro-commissioning, and Operational (BRO) measure.</w:t>
      </w:r>
    </w:p>
    <w:p w14:paraId="11EBC3B3" w14:textId="77777777" w:rsidR="00273376" w:rsidRDefault="00273376" w:rsidP="00273376">
      <w:pPr>
        <w:pStyle w:val="ListParagraph"/>
        <w:numPr>
          <w:ilvl w:val="0"/>
          <w:numId w:val="39"/>
        </w:numPr>
      </w:pPr>
      <w:r>
        <w:t>Confirmation of permanent installation of the AR, NR, AOE, NC measures such that the energy savings persist over the measure life.</w:t>
      </w:r>
    </w:p>
    <w:p w14:paraId="2FCE33B6" w14:textId="77777777" w:rsidR="00273376" w:rsidRDefault="00273376" w:rsidP="0066677D"/>
    <w:p w14:paraId="1D3C1E07" w14:textId="5C6A65D3" w:rsidR="00315F38" w:rsidRDefault="00315F38" w:rsidP="00315F38">
      <w:pPr>
        <w:pStyle w:val="Heading2"/>
        <w:rPr>
          <w:sz w:val="24"/>
          <w:szCs w:val="24"/>
        </w:rPr>
      </w:pPr>
      <w:bookmarkStart w:id="59" w:name="_Toc57653975"/>
      <w:r>
        <w:rPr>
          <w:sz w:val="24"/>
          <w:szCs w:val="24"/>
        </w:rPr>
        <w:t>8</w:t>
      </w:r>
      <w:r w:rsidRPr="00F06A6E">
        <w:rPr>
          <w:sz w:val="24"/>
          <w:szCs w:val="24"/>
        </w:rPr>
        <w:t xml:space="preserve">. </w:t>
      </w:r>
      <w:r>
        <w:rPr>
          <w:sz w:val="24"/>
          <w:szCs w:val="24"/>
        </w:rPr>
        <w:t>Normalized metered energy consumption (NMEC)</w:t>
      </w:r>
      <w:bookmarkEnd w:id="59"/>
    </w:p>
    <w:p w14:paraId="04BCED16" w14:textId="28CE57D7" w:rsidR="00E02DFF" w:rsidRPr="007477C3" w:rsidRDefault="00024323" w:rsidP="00C320CC">
      <w:pPr>
        <w:rPr>
          <w:bCs/>
        </w:rPr>
      </w:pPr>
      <w:r>
        <w:rPr>
          <w:bCs/>
        </w:rPr>
        <w:t>Not applicable</w:t>
      </w:r>
      <w:r w:rsidR="006D5E84">
        <w:rPr>
          <w:bCs/>
        </w:rPr>
        <w:t>.</w:t>
      </w:r>
    </w:p>
    <w:sectPr w:rsidR="00E02DFF" w:rsidRPr="007477C3" w:rsidSect="00862036">
      <w:headerReference w:type="default" r:id="rId17"/>
      <w:footerReference w:type="default" r:id="rId18"/>
      <w:pgSz w:w="12240" w:h="15840"/>
      <w:pgMar w:top="1224" w:right="1080" w:bottom="1584" w:left="1080" w:header="720" w:footer="12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E5859" w14:textId="77777777" w:rsidR="00211696" w:rsidRDefault="00211696" w:rsidP="00553B67">
      <w:pPr>
        <w:spacing w:line="240" w:lineRule="auto"/>
      </w:pPr>
      <w:r>
        <w:separator/>
      </w:r>
    </w:p>
  </w:endnote>
  <w:endnote w:type="continuationSeparator" w:id="0">
    <w:p w14:paraId="6CAAF6F1" w14:textId="77777777" w:rsidR="00211696" w:rsidRDefault="00211696" w:rsidP="00553B67">
      <w:pPr>
        <w:spacing w:line="240" w:lineRule="auto"/>
      </w:pPr>
      <w:r>
        <w:continuationSeparator/>
      </w:r>
    </w:p>
  </w:endnote>
  <w:endnote w:type="continuationNotice" w:id="1">
    <w:p w14:paraId="55AAA097" w14:textId="77777777" w:rsidR="00211696" w:rsidRDefault="0021169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6A6A" w14:textId="77777777" w:rsidR="007477C3" w:rsidRDefault="007477C3" w:rsidP="006743FB">
    <w:pPr>
      <w:pStyle w:val="Footer"/>
      <w:framePr w:wrap="around" w:vAnchor="text" w:hAnchor="margin" w:xAlign="right" w:y="1"/>
    </w:pPr>
    <w:r>
      <w:fldChar w:fldCharType="begin"/>
    </w:r>
    <w:r>
      <w:instrText xml:space="preserve">PAGE  </w:instrText>
    </w:r>
    <w:r>
      <w:fldChar w:fldCharType="separate"/>
    </w:r>
    <w:r>
      <w:rPr>
        <w:noProof/>
      </w:rPr>
      <w:t>6</w:t>
    </w:r>
    <w:r>
      <w:fldChar w:fldCharType="end"/>
    </w:r>
  </w:p>
  <w:p w14:paraId="02343C67" w14:textId="77777777" w:rsidR="007477C3" w:rsidRPr="00F16D00" w:rsidRDefault="007477C3" w:rsidP="00355E43">
    <w:pPr>
      <w:tabs>
        <w:tab w:val="left" w:pos="550"/>
        <w:tab w:val="left" w:pos="4360"/>
        <w:tab w:val="right" w:pos="10080"/>
      </w:tabs>
      <w:spacing w:line="23" w:lineRule="atLeast"/>
      <w:ind w:right="360"/>
      <w:jc w:val="right"/>
      <w:rPr>
        <w:color w:val="F50000" w:themeColor="accent6"/>
        <w:sz w:val="16"/>
        <w:szCs w:val="16"/>
      </w:rPr>
    </w:pPr>
    <w:r>
      <w:rPr>
        <w:noProof/>
        <w:color w:val="F50000" w:themeColor="accent6"/>
        <w:sz w:val="16"/>
        <w:szCs w:val="16"/>
      </w:rPr>
      <mc:AlternateContent>
        <mc:Choice Requires="wps">
          <w:drawing>
            <wp:anchor distT="0" distB="0" distL="114300" distR="114300" simplePos="0" relativeHeight="251658240" behindDoc="0" locked="0" layoutInCell="1" allowOverlap="1" wp14:anchorId="684177FC" wp14:editId="32A4F7EF">
              <wp:simplePos x="0" y="0"/>
              <wp:positionH relativeFrom="page">
                <wp:posOffset>4457700</wp:posOffset>
              </wp:positionH>
              <wp:positionV relativeFrom="page">
                <wp:posOffset>9418320</wp:posOffset>
              </wp:positionV>
              <wp:extent cx="2628900" cy="228600"/>
              <wp:effectExtent l="0" t="0" r="12700" b="0"/>
              <wp:wrapNone/>
              <wp:docPr id="4" name="Text Box 4"/>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8899F" w14:textId="77777777" w:rsidR="007477C3" w:rsidRPr="00DA7027" w:rsidRDefault="007477C3" w:rsidP="0053066E">
                          <w:pPr>
                            <w:pStyle w:val="TaglineFooter"/>
                            <w:rPr>
                              <w:color w:val="EB391C"/>
                            </w:rPr>
                          </w:pPr>
                          <w:r w:rsidRPr="00DA7027">
                            <w:rPr>
                              <w:color w:val="EB391C"/>
                            </w:rPr>
                            <w:t>We change the way people use energy</w:t>
                          </w:r>
                          <w:r w:rsidRPr="00DA7027">
                            <w:rPr>
                              <w:color w:val="EB391C"/>
                              <w:vertAlign w:val="superscript"/>
                            </w:rPr>
                            <w:t>™</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ma14="http://schemas.microsoft.com/office/mac/drawingml/2011/main" xmlns:a="http://schemas.openxmlformats.org/drawingml/2006/main">
          <w:pict>
            <v:shapetype id="_x0000_t202" coordsize="21600,21600" o:spt="202" path="m,l,21600r21600,l21600,xe" w14:anchorId="684177FC">
              <v:stroke joinstyle="miter"/>
              <v:path gradientshapeok="t" o:connecttype="rect"/>
            </v:shapetype>
            <v:shape id="Text Box 4" style="position:absolute;left:0;text-align:left;margin-left:351pt;margin-top:741.6pt;width:207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">
              <v:textbox inset=",,0">
                <w:txbxContent>
                  <w:p w:rsidRPr="00DA7027" w:rsidR="007477C3" w:rsidP="0053066E" w:rsidRDefault="007477C3" w14:paraId="5938899F" w14:textId="77777777">
                    <w:pPr>
                      <w:pStyle w:val="TaglineFooter"/>
                      <w:rPr>
                        <w:color w:val="EB391C"/>
                      </w:rPr>
                    </w:pPr>
                    <w:r w:rsidRPr="00DA7027">
                      <w:rPr>
                        <w:color w:val="EB391C"/>
                      </w:rPr>
                      <w:t>We change the way people use energy</w:t>
                    </w:r>
                    <w:r w:rsidRPr="00DA7027">
                      <w:rPr>
                        <w:color w:val="EB391C"/>
                        <w:vertAlign w:val="superscript"/>
                      </w:rPr>
                      <w:t>™</w:t>
                    </w:r>
                  </w:p>
                </w:txbxContent>
              </v:textbox>
              <w10:wrap anchorx="page" anchory="page"/>
            </v:shape>
          </w:pict>
        </mc:Fallback>
      </mc:AlternateContent>
    </w:r>
    <w:r>
      <w:rPr>
        <w:noProof/>
        <w:color w:val="F50000" w:themeColor="accent6"/>
        <w:szCs w:val="16"/>
      </w:rPr>
      <w:drawing>
        <wp:anchor distT="0" distB="0" distL="114300" distR="114300" simplePos="0" relativeHeight="251658241" behindDoc="0" locked="1" layoutInCell="1" allowOverlap="1" wp14:anchorId="7DC84930" wp14:editId="07ACAD94">
          <wp:simplePos x="0" y="0"/>
          <wp:positionH relativeFrom="page">
            <wp:posOffset>648970</wp:posOffset>
          </wp:positionH>
          <wp:positionV relativeFrom="page">
            <wp:posOffset>9458325</wp:posOffset>
          </wp:positionV>
          <wp:extent cx="840740" cy="1085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logo_rgb_red_0.92.png"/>
                  <pic:cNvPicPr/>
                </pic:nvPicPr>
                <pic:blipFill>
                  <a:blip r:embed="rId1">
                    <a:extLst>
                      <a:ext uri="{28A0092B-C50C-407E-A947-70E740481C1C}">
                        <a14:useLocalDpi xmlns:a14="http://schemas.microsoft.com/office/drawing/2010/main" val="0"/>
                      </a:ext>
                    </a:extLst>
                  </a:blip>
                  <a:stretch>
                    <a:fillRect/>
                  </a:stretch>
                </pic:blipFill>
                <pic:spPr>
                  <a:xfrm>
                    <a:off x="0" y="0"/>
                    <a:ext cx="840740" cy="108585"/>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6A5E2" w14:textId="77777777" w:rsidR="00211696" w:rsidRDefault="00211696" w:rsidP="00553B67">
      <w:pPr>
        <w:spacing w:line="240" w:lineRule="auto"/>
      </w:pPr>
      <w:r>
        <w:separator/>
      </w:r>
    </w:p>
  </w:footnote>
  <w:footnote w:type="continuationSeparator" w:id="0">
    <w:p w14:paraId="16FF029B" w14:textId="77777777" w:rsidR="00211696" w:rsidRDefault="00211696" w:rsidP="00553B67">
      <w:pPr>
        <w:spacing w:line="240" w:lineRule="auto"/>
      </w:pPr>
      <w:r>
        <w:continuationSeparator/>
      </w:r>
    </w:p>
  </w:footnote>
  <w:footnote w:type="continuationNotice" w:id="1">
    <w:p w14:paraId="1FA23E77" w14:textId="77777777" w:rsidR="00211696" w:rsidRDefault="0021169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8BD4" w14:textId="690593E7" w:rsidR="007477C3" w:rsidRPr="00691194" w:rsidRDefault="00BD49D5" w:rsidP="009345A0">
    <w:pPr>
      <w:pStyle w:val="EPageHeader"/>
      <w:jc w:val="both"/>
      <w:rPr>
        <w:color w:val="EB391C"/>
      </w:rPr>
    </w:pPr>
    <w:r>
      <w:rPr>
        <w:color w:val="EB391C"/>
      </w:rPr>
      <w:t>Business Energy Performance</w:t>
    </w:r>
    <w:r w:rsidR="00862036">
      <w:rPr>
        <w:color w:val="EB391C"/>
      </w:rPr>
      <w:t xml:space="preserve"> Program</w:t>
    </w:r>
    <w:r w:rsidR="007477C3" w:rsidRPr="00691194">
      <w:rPr>
        <w:color w:val="EB391C"/>
      </w:rPr>
      <w:tab/>
    </w:r>
    <w:r w:rsidR="00862036">
      <w:rPr>
        <w:color w:val="EB391C"/>
      </w:rPr>
      <w:t>December 2020</w:t>
    </w:r>
  </w:p>
  <w:p w14:paraId="589636CE" w14:textId="77777777" w:rsidR="007477C3" w:rsidRPr="00553B67" w:rsidRDefault="007477C3" w:rsidP="0055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hybridMultilevel"/>
    <w:tmpl w:val="80FE12F6"/>
    <w:lvl w:ilvl="0" w:tplc="9B801E2A">
      <w:start w:val="1"/>
      <w:numFmt w:val="lowerLetter"/>
      <w:pStyle w:val="ListNumber2"/>
      <w:lvlText w:val="%1."/>
      <w:lvlJc w:val="left"/>
      <w:pPr>
        <w:ind w:left="1080" w:hanging="360"/>
      </w:pPr>
      <w:rPr>
        <w:rFonts w:hint="default"/>
        <w:color w:val="auto"/>
      </w:rPr>
    </w:lvl>
    <w:lvl w:ilvl="1" w:tplc="B83C8FA4">
      <w:numFmt w:val="decimal"/>
      <w:lvlText w:val=""/>
      <w:lvlJc w:val="left"/>
    </w:lvl>
    <w:lvl w:ilvl="2" w:tplc="1E2A7788">
      <w:numFmt w:val="decimal"/>
      <w:lvlText w:val=""/>
      <w:lvlJc w:val="left"/>
    </w:lvl>
    <w:lvl w:ilvl="3" w:tplc="2B12C5CC">
      <w:numFmt w:val="decimal"/>
      <w:lvlText w:val=""/>
      <w:lvlJc w:val="left"/>
    </w:lvl>
    <w:lvl w:ilvl="4" w:tplc="A29A5938">
      <w:numFmt w:val="decimal"/>
      <w:lvlText w:val=""/>
      <w:lvlJc w:val="left"/>
    </w:lvl>
    <w:lvl w:ilvl="5" w:tplc="2C2E4690">
      <w:numFmt w:val="decimal"/>
      <w:lvlText w:val=""/>
      <w:lvlJc w:val="left"/>
    </w:lvl>
    <w:lvl w:ilvl="6" w:tplc="73F2A028">
      <w:numFmt w:val="decimal"/>
      <w:lvlText w:val=""/>
      <w:lvlJc w:val="left"/>
    </w:lvl>
    <w:lvl w:ilvl="7" w:tplc="B58A060A">
      <w:numFmt w:val="decimal"/>
      <w:lvlText w:val=""/>
      <w:lvlJc w:val="left"/>
    </w:lvl>
    <w:lvl w:ilvl="8" w:tplc="22346678">
      <w:numFmt w:val="decimal"/>
      <w:lvlText w:val=""/>
      <w:lvlJc w:val="left"/>
    </w:lvl>
  </w:abstractNum>
  <w:abstractNum w:abstractNumId="1" w15:restartNumberingAfterBreak="0">
    <w:nsid w:val="FFFFFF82"/>
    <w:multiLevelType w:val="hybridMultilevel"/>
    <w:tmpl w:val="A61AA2AC"/>
    <w:lvl w:ilvl="0" w:tplc="AB4C215E">
      <w:start w:val="1"/>
      <w:numFmt w:val="bullet"/>
      <w:pStyle w:val="ListBullet3"/>
      <w:lvlText w:val=""/>
      <w:lvlJc w:val="left"/>
      <w:pPr>
        <w:ind w:left="1440" w:hanging="360"/>
      </w:pPr>
      <w:rPr>
        <w:rFonts w:ascii="Wingdings" w:hAnsi="Wingdings" w:hint="default"/>
        <w:color w:val="F4CE00"/>
      </w:rPr>
    </w:lvl>
    <w:lvl w:ilvl="1" w:tplc="571C3C42">
      <w:numFmt w:val="decimal"/>
      <w:lvlText w:val=""/>
      <w:lvlJc w:val="left"/>
    </w:lvl>
    <w:lvl w:ilvl="2" w:tplc="05F006D4">
      <w:numFmt w:val="decimal"/>
      <w:lvlText w:val=""/>
      <w:lvlJc w:val="left"/>
    </w:lvl>
    <w:lvl w:ilvl="3" w:tplc="54384536">
      <w:numFmt w:val="decimal"/>
      <w:lvlText w:val=""/>
      <w:lvlJc w:val="left"/>
    </w:lvl>
    <w:lvl w:ilvl="4" w:tplc="AC8AA286">
      <w:numFmt w:val="decimal"/>
      <w:lvlText w:val=""/>
      <w:lvlJc w:val="left"/>
    </w:lvl>
    <w:lvl w:ilvl="5" w:tplc="61C07AB4">
      <w:numFmt w:val="decimal"/>
      <w:lvlText w:val=""/>
      <w:lvlJc w:val="left"/>
    </w:lvl>
    <w:lvl w:ilvl="6" w:tplc="AEACA06E">
      <w:numFmt w:val="decimal"/>
      <w:lvlText w:val=""/>
      <w:lvlJc w:val="left"/>
    </w:lvl>
    <w:lvl w:ilvl="7" w:tplc="4BBA71F6">
      <w:numFmt w:val="decimal"/>
      <w:lvlText w:val=""/>
      <w:lvlJc w:val="left"/>
    </w:lvl>
    <w:lvl w:ilvl="8" w:tplc="52A26B9E">
      <w:numFmt w:val="decimal"/>
      <w:lvlText w:val=""/>
      <w:lvlJc w:val="left"/>
    </w:lvl>
  </w:abstractNum>
  <w:abstractNum w:abstractNumId="2" w15:restartNumberingAfterBreak="0">
    <w:nsid w:val="FFFFFF83"/>
    <w:multiLevelType w:val="hybridMultilevel"/>
    <w:tmpl w:val="48961AE8"/>
    <w:lvl w:ilvl="0" w:tplc="EC783FFC">
      <w:start w:val="1"/>
      <w:numFmt w:val="bullet"/>
      <w:pStyle w:val="ListBullet2"/>
      <w:lvlText w:val=""/>
      <w:lvlJc w:val="left"/>
      <w:pPr>
        <w:ind w:left="1080" w:hanging="360"/>
      </w:pPr>
      <w:rPr>
        <w:rFonts w:ascii="Wingdings" w:hAnsi="Wingdings" w:hint="default"/>
        <w:color w:val="92B7BC"/>
      </w:rPr>
    </w:lvl>
    <w:lvl w:ilvl="1" w:tplc="1D14E51C">
      <w:numFmt w:val="decimal"/>
      <w:lvlText w:val=""/>
      <w:lvlJc w:val="left"/>
    </w:lvl>
    <w:lvl w:ilvl="2" w:tplc="F5EE636A">
      <w:numFmt w:val="decimal"/>
      <w:lvlText w:val=""/>
      <w:lvlJc w:val="left"/>
    </w:lvl>
    <w:lvl w:ilvl="3" w:tplc="53B26E84">
      <w:numFmt w:val="decimal"/>
      <w:lvlText w:val=""/>
      <w:lvlJc w:val="left"/>
    </w:lvl>
    <w:lvl w:ilvl="4" w:tplc="313661CA">
      <w:numFmt w:val="decimal"/>
      <w:lvlText w:val=""/>
      <w:lvlJc w:val="left"/>
    </w:lvl>
    <w:lvl w:ilvl="5" w:tplc="127428BA">
      <w:numFmt w:val="decimal"/>
      <w:lvlText w:val=""/>
      <w:lvlJc w:val="left"/>
    </w:lvl>
    <w:lvl w:ilvl="6" w:tplc="E3164D7E">
      <w:numFmt w:val="decimal"/>
      <w:lvlText w:val=""/>
      <w:lvlJc w:val="left"/>
    </w:lvl>
    <w:lvl w:ilvl="7" w:tplc="5D4496C0">
      <w:numFmt w:val="decimal"/>
      <w:lvlText w:val=""/>
      <w:lvlJc w:val="left"/>
    </w:lvl>
    <w:lvl w:ilvl="8" w:tplc="C7B2A464">
      <w:numFmt w:val="decimal"/>
      <w:lvlText w:val=""/>
      <w:lvlJc w:val="left"/>
    </w:lvl>
  </w:abstractNum>
  <w:abstractNum w:abstractNumId="3" w15:restartNumberingAfterBreak="0">
    <w:nsid w:val="FFFFFF88"/>
    <w:multiLevelType w:val="hybridMultilevel"/>
    <w:tmpl w:val="735890C0"/>
    <w:lvl w:ilvl="0" w:tplc="301039D8">
      <w:start w:val="1"/>
      <w:numFmt w:val="decimal"/>
      <w:pStyle w:val="ListNumb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80604FC">
      <w:numFmt w:val="decimal"/>
      <w:lvlText w:val=""/>
      <w:lvlJc w:val="left"/>
    </w:lvl>
    <w:lvl w:ilvl="2" w:tplc="A32659D0">
      <w:numFmt w:val="decimal"/>
      <w:lvlText w:val=""/>
      <w:lvlJc w:val="left"/>
    </w:lvl>
    <w:lvl w:ilvl="3" w:tplc="108E8B20">
      <w:numFmt w:val="decimal"/>
      <w:lvlText w:val=""/>
      <w:lvlJc w:val="left"/>
    </w:lvl>
    <w:lvl w:ilvl="4" w:tplc="BE60EB98">
      <w:numFmt w:val="decimal"/>
      <w:lvlText w:val=""/>
      <w:lvlJc w:val="left"/>
    </w:lvl>
    <w:lvl w:ilvl="5" w:tplc="DD98C27E">
      <w:numFmt w:val="decimal"/>
      <w:lvlText w:val=""/>
      <w:lvlJc w:val="left"/>
    </w:lvl>
    <w:lvl w:ilvl="6" w:tplc="EA1829BC">
      <w:numFmt w:val="decimal"/>
      <w:lvlText w:val=""/>
      <w:lvlJc w:val="left"/>
    </w:lvl>
    <w:lvl w:ilvl="7" w:tplc="7B12BFC8">
      <w:numFmt w:val="decimal"/>
      <w:lvlText w:val=""/>
      <w:lvlJc w:val="left"/>
    </w:lvl>
    <w:lvl w:ilvl="8" w:tplc="030E6820">
      <w:numFmt w:val="decimal"/>
      <w:lvlText w:val=""/>
      <w:lvlJc w:val="left"/>
    </w:lvl>
  </w:abstractNum>
  <w:abstractNum w:abstractNumId="4" w15:restartNumberingAfterBreak="0">
    <w:nsid w:val="FFFFFF89"/>
    <w:multiLevelType w:val="hybridMultilevel"/>
    <w:tmpl w:val="AFA24618"/>
    <w:lvl w:ilvl="0" w:tplc="EB1AFC34">
      <w:start w:val="1"/>
      <w:numFmt w:val="bullet"/>
      <w:pStyle w:val="CParagraphBullets"/>
      <w:lvlText w:val=""/>
      <w:lvlJc w:val="left"/>
      <w:pPr>
        <w:ind w:left="720" w:hanging="360"/>
      </w:pPr>
      <w:rPr>
        <w:rFonts w:ascii="Wingdings" w:hAnsi="Wingdings" w:hint="default"/>
        <w:color w:val="007299"/>
      </w:rPr>
    </w:lvl>
    <w:lvl w:ilvl="1" w:tplc="EFE01D7C">
      <w:numFmt w:val="decimal"/>
      <w:lvlText w:val=""/>
      <w:lvlJc w:val="left"/>
    </w:lvl>
    <w:lvl w:ilvl="2" w:tplc="A058F40A">
      <w:numFmt w:val="decimal"/>
      <w:lvlText w:val=""/>
      <w:lvlJc w:val="left"/>
    </w:lvl>
    <w:lvl w:ilvl="3" w:tplc="E07EDF26">
      <w:numFmt w:val="decimal"/>
      <w:lvlText w:val=""/>
      <w:lvlJc w:val="left"/>
    </w:lvl>
    <w:lvl w:ilvl="4" w:tplc="656650CC">
      <w:numFmt w:val="decimal"/>
      <w:lvlText w:val=""/>
      <w:lvlJc w:val="left"/>
    </w:lvl>
    <w:lvl w:ilvl="5" w:tplc="24CCEA22">
      <w:numFmt w:val="decimal"/>
      <w:lvlText w:val=""/>
      <w:lvlJc w:val="left"/>
    </w:lvl>
    <w:lvl w:ilvl="6" w:tplc="C2F26BF6">
      <w:numFmt w:val="decimal"/>
      <w:lvlText w:val=""/>
      <w:lvlJc w:val="left"/>
    </w:lvl>
    <w:lvl w:ilvl="7" w:tplc="585C4D08">
      <w:numFmt w:val="decimal"/>
      <w:lvlText w:val=""/>
      <w:lvlJc w:val="left"/>
    </w:lvl>
    <w:lvl w:ilvl="8" w:tplc="A5C611EA">
      <w:numFmt w:val="decimal"/>
      <w:lvlText w:val=""/>
      <w:lvlJc w:val="left"/>
    </w:lvl>
  </w:abstractNum>
  <w:abstractNum w:abstractNumId="5" w15:restartNumberingAfterBreak="0">
    <w:nsid w:val="01097597"/>
    <w:multiLevelType w:val="hybridMultilevel"/>
    <w:tmpl w:val="C55CE0D4"/>
    <w:lvl w:ilvl="0" w:tplc="01789ED0">
      <w:start w:val="1"/>
      <w:numFmt w:val="bullet"/>
      <w:pStyle w:val="ListBullet"/>
      <w:lvlText w:val=""/>
      <w:lvlJc w:val="left"/>
      <w:pPr>
        <w:ind w:left="720" w:hanging="360"/>
      </w:pPr>
      <w:rPr>
        <w:rFonts w:ascii="Wingdings" w:hAnsi="Wingdings" w:hint="default"/>
        <w:color w:val="EB39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72D18"/>
    <w:multiLevelType w:val="hybridMultilevel"/>
    <w:tmpl w:val="428A3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D082AE6"/>
    <w:multiLevelType w:val="hybridMultilevel"/>
    <w:tmpl w:val="CF8CAD20"/>
    <w:lvl w:ilvl="0" w:tplc="50A0A13A">
      <w:start w:val="1"/>
      <w:numFmt w:val="bullet"/>
      <w:pStyle w:val="Bullet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73C69"/>
    <w:multiLevelType w:val="hybridMultilevel"/>
    <w:tmpl w:val="A4364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77358"/>
    <w:multiLevelType w:val="hybridMultilevel"/>
    <w:tmpl w:val="72D4A1E4"/>
    <w:lvl w:ilvl="0" w:tplc="0409001B">
      <w:start w:val="1"/>
      <w:numFmt w:val="lowerRoman"/>
      <w:lvlText w:val="%1."/>
      <w:lvlJc w:val="righ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F05889"/>
    <w:multiLevelType w:val="hybridMultilevel"/>
    <w:tmpl w:val="053C3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D1600"/>
    <w:multiLevelType w:val="hybridMultilevel"/>
    <w:tmpl w:val="FFFFFFFF"/>
    <w:lvl w:ilvl="0" w:tplc="3FBC5E68">
      <w:start w:val="1"/>
      <w:numFmt w:val="bullet"/>
      <w:lvlText w:val="·"/>
      <w:lvlJc w:val="left"/>
      <w:pPr>
        <w:ind w:left="720" w:hanging="360"/>
      </w:pPr>
      <w:rPr>
        <w:rFonts w:ascii="Symbol" w:hAnsi="Symbol" w:hint="default"/>
      </w:rPr>
    </w:lvl>
    <w:lvl w:ilvl="1" w:tplc="56A43C3E">
      <w:start w:val="1"/>
      <w:numFmt w:val="bullet"/>
      <w:lvlText w:val="o"/>
      <w:lvlJc w:val="left"/>
      <w:pPr>
        <w:ind w:left="1440" w:hanging="360"/>
      </w:pPr>
      <w:rPr>
        <w:rFonts w:ascii="Courier New" w:hAnsi="Courier New" w:hint="default"/>
      </w:rPr>
    </w:lvl>
    <w:lvl w:ilvl="2" w:tplc="A45E37E6">
      <w:start w:val="1"/>
      <w:numFmt w:val="bullet"/>
      <w:lvlText w:val=""/>
      <w:lvlJc w:val="left"/>
      <w:pPr>
        <w:ind w:left="2160" w:hanging="360"/>
      </w:pPr>
      <w:rPr>
        <w:rFonts w:ascii="Wingdings" w:hAnsi="Wingdings" w:hint="default"/>
      </w:rPr>
    </w:lvl>
    <w:lvl w:ilvl="3" w:tplc="D7A8E6C6">
      <w:start w:val="1"/>
      <w:numFmt w:val="bullet"/>
      <w:lvlText w:val=""/>
      <w:lvlJc w:val="left"/>
      <w:pPr>
        <w:ind w:left="2880" w:hanging="360"/>
      </w:pPr>
      <w:rPr>
        <w:rFonts w:ascii="Symbol" w:hAnsi="Symbol" w:hint="default"/>
      </w:rPr>
    </w:lvl>
    <w:lvl w:ilvl="4" w:tplc="C046D94E">
      <w:start w:val="1"/>
      <w:numFmt w:val="bullet"/>
      <w:lvlText w:val="o"/>
      <w:lvlJc w:val="left"/>
      <w:pPr>
        <w:ind w:left="3600" w:hanging="360"/>
      </w:pPr>
      <w:rPr>
        <w:rFonts w:ascii="Courier New" w:hAnsi="Courier New" w:hint="default"/>
      </w:rPr>
    </w:lvl>
    <w:lvl w:ilvl="5" w:tplc="3828C768">
      <w:start w:val="1"/>
      <w:numFmt w:val="bullet"/>
      <w:lvlText w:val=""/>
      <w:lvlJc w:val="left"/>
      <w:pPr>
        <w:ind w:left="4320" w:hanging="360"/>
      </w:pPr>
      <w:rPr>
        <w:rFonts w:ascii="Wingdings" w:hAnsi="Wingdings" w:hint="default"/>
      </w:rPr>
    </w:lvl>
    <w:lvl w:ilvl="6" w:tplc="93B2A166">
      <w:start w:val="1"/>
      <w:numFmt w:val="bullet"/>
      <w:lvlText w:val=""/>
      <w:lvlJc w:val="left"/>
      <w:pPr>
        <w:ind w:left="5040" w:hanging="360"/>
      </w:pPr>
      <w:rPr>
        <w:rFonts w:ascii="Symbol" w:hAnsi="Symbol" w:hint="default"/>
      </w:rPr>
    </w:lvl>
    <w:lvl w:ilvl="7" w:tplc="36DE4324">
      <w:start w:val="1"/>
      <w:numFmt w:val="bullet"/>
      <w:lvlText w:val="o"/>
      <w:lvlJc w:val="left"/>
      <w:pPr>
        <w:ind w:left="5760" w:hanging="360"/>
      </w:pPr>
      <w:rPr>
        <w:rFonts w:ascii="Courier New" w:hAnsi="Courier New" w:hint="default"/>
      </w:rPr>
    </w:lvl>
    <w:lvl w:ilvl="8" w:tplc="4CA83E92">
      <w:start w:val="1"/>
      <w:numFmt w:val="bullet"/>
      <w:lvlText w:val=""/>
      <w:lvlJc w:val="left"/>
      <w:pPr>
        <w:ind w:left="6480" w:hanging="360"/>
      </w:pPr>
      <w:rPr>
        <w:rFonts w:ascii="Wingdings" w:hAnsi="Wingdings" w:hint="default"/>
      </w:rPr>
    </w:lvl>
  </w:abstractNum>
  <w:abstractNum w:abstractNumId="12" w15:restartNumberingAfterBreak="0">
    <w:nsid w:val="1FC62F5A"/>
    <w:multiLevelType w:val="hybridMultilevel"/>
    <w:tmpl w:val="B76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1595C"/>
    <w:multiLevelType w:val="hybridMultilevel"/>
    <w:tmpl w:val="FFFFFFFF"/>
    <w:lvl w:ilvl="0" w:tplc="CA6E861C">
      <w:start w:val="1"/>
      <w:numFmt w:val="bullet"/>
      <w:lvlText w:val="·"/>
      <w:lvlJc w:val="left"/>
      <w:pPr>
        <w:ind w:left="720" w:hanging="360"/>
      </w:pPr>
      <w:rPr>
        <w:rFonts w:ascii="Symbol" w:hAnsi="Symbol" w:hint="default"/>
      </w:rPr>
    </w:lvl>
    <w:lvl w:ilvl="1" w:tplc="878EE76A">
      <w:start w:val="1"/>
      <w:numFmt w:val="bullet"/>
      <w:lvlText w:val="o"/>
      <w:lvlJc w:val="left"/>
      <w:pPr>
        <w:ind w:left="1440" w:hanging="360"/>
      </w:pPr>
      <w:rPr>
        <w:rFonts w:ascii="Courier New" w:hAnsi="Courier New" w:hint="default"/>
      </w:rPr>
    </w:lvl>
    <w:lvl w:ilvl="2" w:tplc="70EA1A74">
      <w:start w:val="1"/>
      <w:numFmt w:val="bullet"/>
      <w:lvlText w:val=""/>
      <w:lvlJc w:val="left"/>
      <w:pPr>
        <w:ind w:left="2160" w:hanging="360"/>
      </w:pPr>
      <w:rPr>
        <w:rFonts w:ascii="Wingdings" w:hAnsi="Wingdings" w:hint="default"/>
      </w:rPr>
    </w:lvl>
    <w:lvl w:ilvl="3" w:tplc="5A3E7876">
      <w:start w:val="1"/>
      <w:numFmt w:val="bullet"/>
      <w:lvlText w:val=""/>
      <w:lvlJc w:val="left"/>
      <w:pPr>
        <w:ind w:left="2880" w:hanging="360"/>
      </w:pPr>
      <w:rPr>
        <w:rFonts w:ascii="Symbol" w:hAnsi="Symbol" w:hint="default"/>
      </w:rPr>
    </w:lvl>
    <w:lvl w:ilvl="4" w:tplc="C7BE6DDA">
      <w:start w:val="1"/>
      <w:numFmt w:val="bullet"/>
      <w:lvlText w:val="o"/>
      <w:lvlJc w:val="left"/>
      <w:pPr>
        <w:ind w:left="3600" w:hanging="360"/>
      </w:pPr>
      <w:rPr>
        <w:rFonts w:ascii="Courier New" w:hAnsi="Courier New" w:hint="default"/>
      </w:rPr>
    </w:lvl>
    <w:lvl w:ilvl="5" w:tplc="E46A3DB2">
      <w:start w:val="1"/>
      <w:numFmt w:val="bullet"/>
      <w:lvlText w:val=""/>
      <w:lvlJc w:val="left"/>
      <w:pPr>
        <w:ind w:left="4320" w:hanging="360"/>
      </w:pPr>
      <w:rPr>
        <w:rFonts w:ascii="Wingdings" w:hAnsi="Wingdings" w:hint="default"/>
      </w:rPr>
    </w:lvl>
    <w:lvl w:ilvl="6" w:tplc="694E63EE">
      <w:start w:val="1"/>
      <w:numFmt w:val="bullet"/>
      <w:lvlText w:val=""/>
      <w:lvlJc w:val="left"/>
      <w:pPr>
        <w:ind w:left="5040" w:hanging="360"/>
      </w:pPr>
      <w:rPr>
        <w:rFonts w:ascii="Symbol" w:hAnsi="Symbol" w:hint="default"/>
      </w:rPr>
    </w:lvl>
    <w:lvl w:ilvl="7" w:tplc="003E91CA">
      <w:start w:val="1"/>
      <w:numFmt w:val="bullet"/>
      <w:lvlText w:val="o"/>
      <w:lvlJc w:val="left"/>
      <w:pPr>
        <w:ind w:left="5760" w:hanging="360"/>
      </w:pPr>
      <w:rPr>
        <w:rFonts w:ascii="Courier New" w:hAnsi="Courier New" w:hint="default"/>
      </w:rPr>
    </w:lvl>
    <w:lvl w:ilvl="8" w:tplc="72D48F98">
      <w:start w:val="1"/>
      <w:numFmt w:val="bullet"/>
      <w:lvlText w:val=""/>
      <w:lvlJc w:val="left"/>
      <w:pPr>
        <w:ind w:left="6480" w:hanging="360"/>
      </w:pPr>
      <w:rPr>
        <w:rFonts w:ascii="Wingdings" w:hAnsi="Wingdings" w:hint="default"/>
      </w:rPr>
    </w:lvl>
  </w:abstractNum>
  <w:abstractNum w:abstractNumId="14" w15:restartNumberingAfterBreak="0">
    <w:nsid w:val="294C052F"/>
    <w:multiLevelType w:val="hybridMultilevel"/>
    <w:tmpl w:val="FFFFFFFF"/>
    <w:lvl w:ilvl="0" w:tplc="127A4FDA">
      <w:start w:val="1"/>
      <w:numFmt w:val="bullet"/>
      <w:lvlText w:val=""/>
      <w:lvlJc w:val="left"/>
      <w:pPr>
        <w:ind w:left="720" w:hanging="360"/>
      </w:pPr>
      <w:rPr>
        <w:rFonts w:ascii="Symbol" w:hAnsi="Symbol" w:hint="default"/>
      </w:rPr>
    </w:lvl>
    <w:lvl w:ilvl="1" w:tplc="AC82AD48">
      <w:start w:val="1"/>
      <w:numFmt w:val="bullet"/>
      <w:lvlText w:val=""/>
      <w:lvlJc w:val="left"/>
      <w:pPr>
        <w:ind w:left="1440" w:hanging="360"/>
      </w:pPr>
      <w:rPr>
        <w:rFonts w:ascii="Symbol" w:hAnsi="Symbol" w:hint="default"/>
      </w:rPr>
    </w:lvl>
    <w:lvl w:ilvl="2" w:tplc="42BCAA2A">
      <w:start w:val="1"/>
      <w:numFmt w:val="bullet"/>
      <w:lvlText w:val=""/>
      <w:lvlJc w:val="left"/>
      <w:pPr>
        <w:ind w:left="2160" w:hanging="360"/>
      </w:pPr>
      <w:rPr>
        <w:rFonts w:ascii="Wingdings" w:hAnsi="Wingdings" w:hint="default"/>
      </w:rPr>
    </w:lvl>
    <w:lvl w:ilvl="3" w:tplc="B2A4E128">
      <w:start w:val="1"/>
      <w:numFmt w:val="bullet"/>
      <w:lvlText w:val=""/>
      <w:lvlJc w:val="left"/>
      <w:pPr>
        <w:ind w:left="2880" w:hanging="360"/>
      </w:pPr>
      <w:rPr>
        <w:rFonts w:ascii="Symbol" w:hAnsi="Symbol" w:hint="default"/>
      </w:rPr>
    </w:lvl>
    <w:lvl w:ilvl="4" w:tplc="43EE855C">
      <w:start w:val="1"/>
      <w:numFmt w:val="bullet"/>
      <w:lvlText w:val="o"/>
      <w:lvlJc w:val="left"/>
      <w:pPr>
        <w:ind w:left="3600" w:hanging="360"/>
      </w:pPr>
      <w:rPr>
        <w:rFonts w:ascii="Courier New" w:hAnsi="Courier New" w:hint="default"/>
      </w:rPr>
    </w:lvl>
    <w:lvl w:ilvl="5" w:tplc="9B94E990">
      <w:start w:val="1"/>
      <w:numFmt w:val="bullet"/>
      <w:lvlText w:val=""/>
      <w:lvlJc w:val="left"/>
      <w:pPr>
        <w:ind w:left="4320" w:hanging="360"/>
      </w:pPr>
      <w:rPr>
        <w:rFonts w:ascii="Wingdings" w:hAnsi="Wingdings" w:hint="default"/>
      </w:rPr>
    </w:lvl>
    <w:lvl w:ilvl="6" w:tplc="EBB87E1E">
      <w:start w:val="1"/>
      <w:numFmt w:val="bullet"/>
      <w:lvlText w:val=""/>
      <w:lvlJc w:val="left"/>
      <w:pPr>
        <w:ind w:left="5040" w:hanging="360"/>
      </w:pPr>
      <w:rPr>
        <w:rFonts w:ascii="Symbol" w:hAnsi="Symbol" w:hint="default"/>
      </w:rPr>
    </w:lvl>
    <w:lvl w:ilvl="7" w:tplc="C6D21D34">
      <w:start w:val="1"/>
      <w:numFmt w:val="bullet"/>
      <w:lvlText w:val="o"/>
      <w:lvlJc w:val="left"/>
      <w:pPr>
        <w:ind w:left="5760" w:hanging="360"/>
      </w:pPr>
      <w:rPr>
        <w:rFonts w:ascii="Courier New" w:hAnsi="Courier New" w:hint="default"/>
      </w:rPr>
    </w:lvl>
    <w:lvl w:ilvl="8" w:tplc="D160F300">
      <w:start w:val="1"/>
      <w:numFmt w:val="bullet"/>
      <w:lvlText w:val=""/>
      <w:lvlJc w:val="left"/>
      <w:pPr>
        <w:ind w:left="6480" w:hanging="360"/>
      </w:pPr>
      <w:rPr>
        <w:rFonts w:ascii="Wingdings" w:hAnsi="Wingdings" w:hint="default"/>
      </w:rPr>
    </w:lvl>
  </w:abstractNum>
  <w:abstractNum w:abstractNumId="15" w15:restartNumberingAfterBreak="0">
    <w:nsid w:val="34596D05"/>
    <w:multiLevelType w:val="hybridMultilevel"/>
    <w:tmpl w:val="FFFFFFFF"/>
    <w:lvl w:ilvl="0" w:tplc="2E84C8FC">
      <w:start w:val="1"/>
      <w:numFmt w:val="bullet"/>
      <w:lvlText w:val="·"/>
      <w:lvlJc w:val="left"/>
      <w:pPr>
        <w:ind w:left="720" w:hanging="360"/>
      </w:pPr>
      <w:rPr>
        <w:rFonts w:ascii="Symbol" w:hAnsi="Symbol" w:hint="default"/>
      </w:rPr>
    </w:lvl>
    <w:lvl w:ilvl="1" w:tplc="14AE93BA">
      <w:start w:val="1"/>
      <w:numFmt w:val="bullet"/>
      <w:lvlText w:val="o"/>
      <w:lvlJc w:val="left"/>
      <w:pPr>
        <w:ind w:left="1440" w:hanging="360"/>
      </w:pPr>
      <w:rPr>
        <w:rFonts w:ascii="Courier New" w:hAnsi="Courier New" w:hint="default"/>
      </w:rPr>
    </w:lvl>
    <w:lvl w:ilvl="2" w:tplc="F2B0FFD4">
      <w:start w:val="1"/>
      <w:numFmt w:val="bullet"/>
      <w:lvlText w:val=""/>
      <w:lvlJc w:val="left"/>
      <w:pPr>
        <w:ind w:left="2160" w:hanging="360"/>
      </w:pPr>
      <w:rPr>
        <w:rFonts w:ascii="Wingdings" w:hAnsi="Wingdings" w:hint="default"/>
      </w:rPr>
    </w:lvl>
    <w:lvl w:ilvl="3" w:tplc="FC4E0358">
      <w:start w:val="1"/>
      <w:numFmt w:val="bullet"/>
      <w:lvlText w:val=""/>
      <w:lvlJc w:val="left"/>
      <w:pPr>
        <w:ind w:left="2880" w:hanging="360"/>
      </w:pPr>
      <w:rPr>
        <w:rFonts w:ascii="Symbol" w:hAnsi="Symbol" w:hint="default"/>
      </w:rPr>
    </w:lvl>
    <w:lvl w:ilvl="4" w:tplc="B6E61C4A">
      <w:start w:val="1"/>
      <w:numFmt w:val="bullet"/>
      <w:lvlText w:val="o"/>
      <w:lvlJc w:val="left"/>
      <w:pPr>
        <w:ind w:left="3600" w:hanging="360"/>
      </w:pPr>
      <w:rPr>
        <w:rFonts w:ascii="Courier New" w:hAnsi="Courier New" w:hint="default"/>
      </w:rPr>
    </w:lvl>
    <w:lvl w:ilvl="5" w:tplc="C448B1C6">
      <w:start w:val="1"/>
      <w:numFmt w:val="bullet"/>
      <w:lvlText w:val=""/>
      <w:lvlJc w:val="left"/>
      <w:pPr>
        <w:ind w:left="4320" w:hanging="360"/>
      </w:pPr>
      <w:rPr>
        <w:rFonts w:ascii="Wingdings" w:hAnsi="Wingdings" w:hint="default"/>
      </w:rPr>
    </w:lvl>
    <w:lvl w:ilvl="6" w:tplc="7D64C280">
      <w:start w:val="1"/>
      <w:numFmt w:val="bullet"/>
      <w:lvlText w:val=""/>
      <w:lvlJc w:val="left"/>
      <w:pPr>
        <w:ind w:left="5040" w:hanging="360"/>
      </w:pPr>
      <w:rPr>
        <w:rFonts w:ascii="Symbol" w:hAnsi="Symbol" w:hint="default"/>
      </w:rPr>
    </w:lvl>
    <w:lvl w:ilvl="7" w:tplc="34FAA194">
      <w:start w:val="1"/>
      <w:numFmt w:val="bullet"/>
      <w:lvlText w:val="o"/>
      <w:lvlJc w:val="left"/>
      <w:pPr>
        <w:ind w:left="5760" w:hanging="360"/>
      </w:pPr>
      <w:rPr>
        <w:rFonts w:ascii="Courier New" w:hAnsi="Courier New" w:hint="default"/>
      </w:rPr>
    </w:lvl>
    <w:lvl w:ilvl="8" w:tplc="549EC28E">
      <w:start w:val="1"/>
      <w:numFmt w:val="bullet"/>
      <w:lvlText w:val=""/>
      <w:lvlJc w:val="left"/>
      <w:pPr>
        <w:ind w:left="6480" w:hanging="360"/>
      </w:pPr>
      <w:rPr>
        <w:rFonts w:ascii="Wingdings" w:hAnsi="Wingdings" w:hint="default"/>
      </w:rPr>
    </w:lvl>
  </w:abstractNum>
  <w:abstractNum w:abstractNumId="16" w15:restartNumberingAfterBreak="0">
    <w:nsid w:val="361A4430"/>
    <w:multiLevelType w:val="hybridMultilevel"/>
    <w:tmpl w:val="75A23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8153B"/>
    <w:multiLevelType w:val="hybridMultilevel"/>
    <w:tmpl w:val="4F52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141BD"/>
    <w:multiLevelType w:val="hybridMultilevel"/>
    <w:tmpl w:val="FFFFFFFF"/>
    <w:lvl w:ilvl="0" w:tplc="6FC2E8AE">
      <w:start w:val="1"/>
      <w:numFmt w:val="bullet"/>
      <w:lvlText w:val="·"/>
      <w:lvlJc w:val="left"/>
      <w:pPr>
        <w:ind w:left="720" w:hanging="360"/>
      </w:pPr>
      <w:rPr>
        <w:rFonts w:ascii="Symbol" w:hAnsi="Symbol" w:hint="default"/>
      </w:rPr>
    </w:lvl>
    <w:lvl w:ilvl="1" w:tplc="09B838A2">
      <w:start w:val="1"/>
      <w:numFmt w:val="bullet"/>
      <w:lvlText w:val="o"/>
      <w:lvlJc w:val="left"/>
      <w:pPr>
        <w:ind w:left="1440" w:hanging="360"/>
      </w:pPr>
      <w:rPr>
        <w:rFonts w:ascii="Courier New" w:hAnsi="Courier New" w:hint="default"/>
      </w:rPr>
    </w:lvl>
    <w:lvl w:ilvl="2" w:tplc="0D98DCB2">
      <w:start w:val="1"/>
      <w:numFmt w:val="bullet"/>
      <w:lvlText w:val=""/>
      <w:lvlJc w:val="left"/>
      <w:pPr>
        <w:ind w:left="2160" w:hanging="360"/>
      </w:pPr>
      <w:rPr>
        <w:rFonts w:ascii="Wingdings" w:hAnsi="Wingdings" w:hint="default"/>
      </w:rPr>
    </w:lvl>
    <w:lvl w:ilvl="3" w:tplc="14765F20">
      <w:start w:val="1"/>
      <w:numFmt w:val="bullet"/>
      <w:lvlText w:val=""/>
      <w:lvlJc w:val="left"/>
      <w:pPr>
        <w:ind w:left="2880" w:hanging="360"/>
      </w:pPr>
      <w:rPr>
        <w:rFonts w:ascii="Symbol" w:hAnsi="Symbol" w:hint="default"/>
      </w:rPr>
    </w:lvl>
    <w:lvl w:ilvl="4" w:tplc="DE1ECE40">
      <w:start w:val="1"/>
      <w:numFmt w:val="bullet"/>
      <w:lvlText w:val="o"/>
      <w:lvlJc w:val="left"/>
      <w:pPr>
        <w:ind w:left="3600" w:hanging="360"/>
      </w:pPr>
      <w:rPr>
        <w:rFonts w:ascii="Courier New" w:hAnsi="Courier New" w:hint="default"/>
      </w:rPr>
    </w:lvl>
    <w:lvl w:ilvl="5" w:tplc="079A0CAC">
      <w:start w:val="1"/>
      <w:numFmt w:val="bullet"/>
      <w:lvlText w:val=""/>
      <w:lvlJc w:val="left"/>
      <w:pPr>
        <w:ind w:left="4320" w:hanging="360"/>
      </w:pPr>
      <w:rPr>
        <w:rFonts w:ascii="Wingdings" w:hAnsi="Wingdings" w:hint="default"/>
      </w:rPr>
    </w:lvl>
    <w:lvl w:ilvl="6" w:tplc="634CC35A">
      <w:start w:val="1"/>
      <w:numFmt w:val="bullet"/>
      <w:lvlText w:val=""/>
      <w:lvlJc w:val="left"/>
      <w:pPr>
        <w:ind w:left="5040" w:hanging="360"/>
      </w:pPr>
      <w:rPr>
        <w:rFonts w:ascii="Symbol" w:hAnsi="Symbol" w:hint="default"/>
      </w:rPr>
    </w:lvl>
    <w:lvl w:ilvl="7" w:tplc="0726C0DE">
      <w:start w:val="1"/>
      <w:numFmt w:val="bullet"/>
      <w:lvlText w:val="o"/>
      <w:lvlJc w:val="left"/>
      <w:pPr>
        <w:ind w:left="5760" w:hanging="360"/>
      </w:pPr>
      <w:rPr>
        <w:rFonts w:ascii="Courier New" w:hAnsi="Courier New" w:hint="default"/>
      </w:rPr>
    </w:lvl>
    <w:lvl w:ilvl="8" w:tplc="AEE889F2">
      <w:start w:val="1"/>
      <w:numFmt w:val="bullet"/>
      <w:lvlText w:val=""/>
      <w:lvlJc w:val="left"/>
      <w:pPr>
        <w:ind w:left="6480" w:hanging="360"/>
      </w:pPr>
      <w:rPr>
        <w:rFonts w:ascii="Wingdings" w:hAnsi="Wingdings" w:hint="default"/>
      </w:rPr>
    </w:lvl>
  </w:abstractNum>
  <w:abstractNum w:abstractNumId="19" w15:restartNumberingAfterBreak="0">
    <w:nsid w:val="3E2C5AEF"/>
    <w:multiLevelType w:val="hybridMultilevel"/>
    <w:tmpl w:val="BAB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10E43"/>
    <w:multiLevelType w:val="hybridMultilevel"/>
    <w:tmpl w:val="A286722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F75CA"/>
    <w:multiLevelType w:val="hybridMultilevel"/>
    <w:tmpl w:val="FFFFFFFF"/>
    <w:lvl w:ilvl="0" w:tplc="52AABB9E">
      <w:start w:val="1"/>
      <w:numFmt w:val="bullet"/>
      <w:lvlText w:val="·"/>
      <w:lvlJc w:val="left"/>
      <w:pPr>
        <w:ind w:left="720" w:hanging="360"/>
      </w:pPr>
      <w:rPr>
        <w:rFonts w:ascii="Symbol" w:hAnsi="Symbol" w:hint="default"/>
      </w:rPr>
    </w:lvl>
    <w:lvl w:ilvl="1" w:tplc="42D09F74">
      <w:start w:val="1"/>
      <w:numFmt w:val="bullet"/>
      <w:lvlText w:val="o"/>
      <w:lvlJc w:val="left"/>
      <w:pPr>
        <w:ind w:left="1440" w:hanging="360"/>
      </w:pPr>
      <w:rPr>
        <w:rFonts w:ascii="Courier New" w:hAnsi="Courier New" w:hint="default"/>
      </w:rPr>
    </w:lvl>
    <w:lvl w:ilvl="2" w:tplc="BF4A0846">
      <w:start w:val="1"/>
      <w:numFmt w:val="bullet"/>
      <w:lvlText w:val=""/>
      <w:lvlJc w:val="left"/>
      <w:pPr>
        <w:ind w:left="2160" w:hanging="360"/>
      </w:pPr>
      <w:rPr>
        <w:rFonts w:ascii="Wingdings" w:hAnsi="Wingdings" w:hint="default"/>
      </w:rPr>
    </w:lvl>
    <w:lvl w:ilvl="3" w:tplc="BAA616DC">
      <w:start w:val="1"/>
      <w:numFmt w:val="bullet"/>
      <w:lvlText w:val=""/>
      <w:lvlJc w:val="left"/>
      <w:pPr>
        <w:ind w:left="2880" w:hanging="360"/>
      </w:pPr>
      <w:rPr>
        <w:rFonts w:ascii="Symbol" w:hAnsi="Symbol" w:hint="default"/>
      </w:rPr>
    </w:lvl>
    <w:lvl w:ilvl="4" w:tplc="34C03000">
      <w:start w:val="1"/>
      <w:numFmt w:val="bullet"/>
      <w:lvlText w:val="o"/>
      <w:lvlJc w:val="left"/>
      <w:pPr>
        <w:ind w:left="3600" w:hanging="360"/>
      </w:pPr>
      <w:rPr>
        <w:rFonts w:ascii="Courier New" w:hAnsi="Courier New" w:hint="default"/>
      </w:rPr>
    </w:lvl>
    <w:lvl w:ilvl="5" w:tplc="B920B90E">
      <w:start w:val="1"/>
      <w:numFmt w:val="bullet"/>
      <w:lvlText w:val=""/>
      <w:lvlJc w:val="left"/>
      <w:pPr>
        <w:ind w:left="4320" w:hanging="360"/>
      </w:pPr>
      <w:rPr>
        <w:rFonts w:ascii="Wingdings" w:hAnsi="Wingdings" w:hint="default"/>
      </w:rPr>
    </w:lvl>
    <w:lvl w:ilvl="6" w:tplc="D17870D0">
      <w:start w:val="1"/>
      <w:numFmt w:val="bullet"/>
      <w:lvlText w:val=""/>
      <w:lvlJc w:val="left"/>
      <w:pPr>
        <w:ind w:left="5040" w:hanging="360"/>
      </w:pPr>
      <w:rPr>
        <w:rFonts w:ascii="Symbol" w:hAnsi="Symbol" w:hint="default"/>
      </w:rPr>
    </w:lvl>
    <w:lvl w:ilvl="7" w:tplc="65A8507A">
      <w:start w:val="1"/>
      <w:numFmt w:val="bullet"/>
      <w:lvlText w:val="o"/>
      <w:lvlJc w:val="left"/>
      <w:pPr>
        <w:ind w:left="5760" w:hanging="360"/>
      </w:pPr>
      <w:rPr>
        <w:rFonts w:ascii="Courier New" w:hAnsi="Courier New" w:hint="default"/>
      </w:rPr>
    </w:lvl>
    <w:lvl w:ilvl="8" w:tplc="C47A2A04">
      <w:start w:val="1"/>
      <w:numFmt w:val="bullet"/>
      <w:lvlText w:val=""/>
      <w:lvlJc w:val="left"/>
      <w:pPr>
        <w:ind w:left="6480" w:hanging="360"/>
      </w:pPr>
      <w:rPr>
        <w:rFonts w:ascii="Wingdings" w:hAnsi="Wingdings" w:hint="default"/>
      </w:rPr>
    </w:lvl>
  </w:abstractNum>
  <w:abstractNum w:abstractNumId="22" w15:restartNumberingAfterBreak="0">
    <w:nsid w:val="4BA3022B"/>
    <w:multiLevelType w:val="hybridMultilevel"/>
    <w:tmpl w:val="FFFFFFFF"/>
    <w:lvl w:ilvl="0" w:tplc="BE5C5A0C">
      <w:start w:val="1"/>
      <w:numFmt w:val="bullet"/>
      <w:lvlText w:val="·"/>
      <w:lvlJc w:val="left"/>
      <w:pPr>
        <w:ind w:left="720" w:hanging="360"/>
      </w:pPr>
      <w:rPr>
        <w:rFonts w:ascii="Symbol" w:hAnsi="Symbol" w:hint="default"/>
      </w:rPr>
    </w:lvl>
    <w:lvl w:ilvl="1" w:tplc="F31E6578">
      <w:start w:val="1"/>
      <w:numFmt w:val="bullet"/>
      <w:lvlText w:val="o"/>
      <w:lvlJc w:val="left"/>
      <w:pPr>
        <w:ind w:left="1440" w:hanging="360"/>
      </w:pPr>
      <w:rPr>
        <w:rFonts w:ascii="Courier New" w:hAnsi="Courier New" w:hint="default"/>
      </w:rPr>
    </w:lvl>
    <w:lvl w:ilvl="2" w:tplc="39981008">
      <w:start w:val="1"/>
      <w:numFmt w:val="bullet"/>
      <w:lvlText w:val=""/>
      <w:lvlJc w:val="left"/>
      <w:pPr>
        <w:ind w:left="2160" w:hanging="360"/>
      </w:pPr>
      <w:rPr>
        <w:rFonts w:ascii="Wingdings" w:hAnsi="Wingdings" w:hint="default"/>
      </w:rPr>
    </w:lvl>
    <w:lvl w:ilvl="3" w:tplc="4CDE3B5C">
      <w:start w:val="1"/>
      <w:numFmt w:val="bullet"/>
      <w:lvlText w:val=""/>
      <w:lvlJc w:val="left"/>
      <w:pPr>
        <w:ind w:left="2880" w:hanging="360"/>
      </w:pPr>
      <w:rPr>
        <w:rFonts w:ascii="Symbol" w:hAnsi="Symbol" w:hint="default"/>
      </w:rPr>
    </w:lvl>
    <w:lvl w:ilvl="4" w:tplc="BFC69CF2">
      <w:start w:val="1"/>
      <w:numFmt w:val="bullet"/>
      <w:lvlText w:val="o"/>
      <w:lvlJc w:val="left"/>
      <w:pPr>
        <w:ind w:left="3600" w:hanging="360"/>
      </w:pPr>
      <w:rPr>
        <w:rFonts w:ascii="Courier New" w:hAnsi="Courier New" w:hint="default"/>
      </w:rPr>
    </w:lvl>
    <w:lvl w:ilvl="5" w:tplc="6226BC30">
      <w:start w:val="1"/>
      <w:numFmt w:val="bullet"/>
      <w:lvlText w:val=""/>
      <w:lvlJc w:val="left"/>
      <w:pPr>
        <w:ind w:left="4320" w:hanging="360"/>
      </w:pPr>
      <w:rPr>
        <w:rFonts w:ascii="Wingdings" w:hAnsi="Wingdings" w:hint="default"/>
      </w:rPr>
    </w:lvl>
    <w:lvl w:ilvl="6" w:tplc="2BA84428">
      <w:start w:val="1"/>
      <w:numFmt w:val="bullet"/>
      <w:lvlText w:val=""/>
      <w:lvlJc w:val="left"/>
      <w:pPr>
        <w:ind w:left="5040" w:hanging="360"/>
      </w:pPr>
      <w:rPr>
        <w:rFonts w:ascii="Symbol" w:hAnsi="Symbol" w:hint="default"/>
      </w:rPr>
    </w:lvl>
    <w:lvl w:ilvl="7" w:tplc="317CA874">
      <w:start w:val="1"/>
      <w:numFmt w:val="bullet"/>
      <w:lvlText w:val="o"/>
      <w:lvlJc w:val="left"/>
      <w:pPr>
        <w:ind w:left="5760" w:hanging="360"/>
      </w:pPr>
      <w:rPr>
        <w:rFonts w:ascii="Courier New" w:hAnsi="Courier New" w:hint="default"/>
      </w:rPr>
    </w:lvl>
    <w:lvl w:ilvl="8" w:tplc="F3D6D81C">
      <w:start w:val="1"/>
      <w:numFmt w:val="bullet"/>
      <w:lvlText w:val=""/>
      <w:lvlJc w:val="left"/>
      <w:pPr>
        <w:ind w:left="6480" w:hanging="360"/>
      </w:pPr>
      <w:rPr>
        <w:rFonts w:ascii="Wingdings" w:hAnsi="Wingdings" w:hint="default"/>
      </w:rPr>
    </w:lvl>
  </w:abstractNum>
  <w:abstractNum w:abstractNumId="23" w15:restartNumberingAfterBreak="0">
    <w:nsid w:val="50DC3FF6"/>
    <w:multiLevelType w:val="hybridMultilevel"/>
    <w:tmpl w:val="F9B0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96830"/>
    <w:multiLevelType w:val="hybridMultilevel"/>
    <w:tmpl w:val="FFFFFFFF"/>
    <w:lvl w:ilvl="0" w:tplc="B068FBDE">
      <w:start w:val="1"/>
      <w:numFmt w:val="bullet"/>
      <w:lvlText w:val="·"/>
      <w:lvlJc w:val="left"/>
      <w:pPr>
        <w:ind w:left="720" w:hanging="360"/>
      </w:pPr>
      <w:rPr>
        <w:rFonts w:ascii="Symbol" w:hAnsi="Symbol" w:hint="default"/>
      </w:rPr>
    </w:lvl>
    <w:lvl w:ilvl="1" w:tplc="0D12BCA2">
      <w:start w:val="1"/>
      <w:numFmt w:val="bullet"/>
      <w:lvlText w:val="o"/>
      <w:lvlJc w:val="left"/>
      <w:pPr>
        <w:ind w:left="1440" w:hanging="360"/>
      </w:pPr>
      <w:rPr>
        <w:rFonts w:ascii="Courier New" w:hAnsi="Courier New" w:hint="default"/>
      </w:rPr>
    </w:lvl>
    <w:lvl w:ilvl="2" w:tplc="36769CB6">
      <w:start w:val="1"/>
      <w:numFmt w:val="bullet"/>
      <w:lvlText w:val=""/>
      <w:lvlJc w:val="left"/>
      <w:pPr>
        <w:ind w:left="2160" w:hanging="360"/>
      </w:pPr>
      <w:rPr>
        <w:rFonts w:ascii="Wingdings" w:hAnsi="Wingdings" w:hint="default"/>
      </w:rPr>
    </w:lvl>
    <w:lvl w:ilvl="3" w:tplc="6BE83456">
      <w:start w:val="1"/>
      <w:numFmt w:val="bullet"/>
      <w:lvlText w:val=""/>
      <w:lvlJc w:val="left"/>
      <w:pPr>
        <w:ind w:left="2880" w:hanging="360"/>
      </w:pPr>
      <w:rPr>
        <w:rFonts w:ascii="Symbol" w:hAnsi="Symbol" w:hint="default"/>
      </w:rPr>
    </w:lvl>
    <w:lvl w:ilvl="4" w:tplc="1D70C940">
      <w:start w:val="1"/>
      <w:numFmt w:val="bullet"/>
      <w:lvlText w:val="o"/>
      <w:lvlJc w:val="left"/>
      <w:pPr>
        <w:ind w:left="3600" w:hanging="360"/>
      </w:pPr>
      <w:rPr>
        <w:rFonts w:ascii="Courier New" w:hAnsi="Courier New" w:hint="default"/>
      </w:rPr>
    </w:lvl>
    <w:lvl w:ilvl="5" w:tplc="3BF22BF6">
      <w:start w:val="1"/>
      <w:numFmt w:val="bullet"/>
      <w:lvlText w:val=""/>
      <w:lvlJc w:val="left"/>
      <w:pPr>
        <w:ind w:left="4320" w:hanging="360"/>
      </w:pPr>
      <w:rPr>
        <w:rFonts w:ascii="Wingdings" w:hAnsi="Wingdings" w:hint="default"/>
      </w:rPr>
    </w:lvl>
    <w:lvl w:ilvl="6" w:tplc="F9BE93CA">
      <w:start w:val="1"/>
      <w:numFmt w:val="bullet"/>
      <w:lvlText w:val=""/>
      <w:lvlJc w:val="left"/>
      <w:pPr>
        <w:ind w:left="5040" w:hanging="360"/>
      </w:pPr>
      <w:rPr>
        <w:rFonts w:ascii="Symbol" w:hAnsi="Symbol" w:hint="default"/>
      </w:rPr>
    </w:lvl>
    <w:lvl w:ilvl="7" w:tplc="2CF29F36">
      <w:start w:val="1"/>
      <w:numFmt w:val="bullet"/>
      <w:lvlText w:val="o"/>
      <w:lvlJc w:val="left"/>
      <w:pPr>
        <w:ind w:left="5760" w:hanging="360"/>
      </w:pPr>
      <w:rPr>
        <w:rFonts w:ascii="Courier New" w:hAnsi="Courier New" w:hint="default"/>
      </w:rPr>
    </w:lvl>
    <w:lvl w:ilvl="8" w:tplc="5B7E7DC0">
      <w:start w:val="1"/>
      <w:numFmt w:val="bullet"/>
      <w:lvlText w:val=""/>
      <w:lvlJc w:val="left"/>
      <w:pPr>
        <w:ind w:left="6480" w:hanging="360"/>
      </w:pPr>
      <w:rPr>
        <w:rFonts w:ascii="Wingdings" w:hAnsi="Wingdings" w:hint="default"/>
      </w:rPr>
    </w:lvl>
  </w:abstractNum>
  <w:abstractNum w:abstractNumId="25" w15:restartNumberingAfterBreak="0">
    <w:nsid w:val="59084328"/>
    <w:multiLevelType w:val="hybridMultilevel"/>
    <w:tmpl w:val="FFFFFFFF"/>
    <w:lvl w:ilvl="0" w:tplc="26C019DE">
      <w:start w:val="1"/>
      <w:numFmt w:val="bullet"/>
      <w:lvlText w:val="·"/>
      <w:lvlJc w:val="left"/>
      <w:pPr>
        <w:ind w:left="720" w:hanging="360"/>
      </w:pPr>
      <w:rPr>
        <w:rFonts w:ascii="Symbol" w:hAnsi="Symbol" w:hint="default"/>
      </w:rPr>
    </w:lvl>
    <w:lvl w:ilvl="1" w:tplc="D2AE0D26">
      <w:start w:val="1"/>
      <w:numFmt w:val="bullet"/>
      <w:lvlText w:val="o"/>
      <w:lvlJc w:val="left"/>
      <w:pPr>
        <w:ind w:left="1440" w:hanging="360"/>
      </w:pPr>
      <w:rPr>
        <w:rFonts w:ascii="Courier New" w:hAnsi="Courier New" w:hint="default"/>
      </w:rPr>
    </w:lvl>
    <w:lvl w:ilvl="2" w:tplc="C8CE3ED6">
      <w:start w:val="1"/>
      <w:numFmt w:val="bullet"/>
      <w:lvlText w:val=""/>
      <w:lvlJc w:val="left"/>
      <w:pPr>
        <w:ind w:left="2160" w:hanging="360"/>
      </w:pPr>
      <w:rPr>
        <w:rFonts w:ascii="Wingdings" w:hAnsi="Wingdings" w:hint="default"/>
      </w:rPr>
    </w:lvl>
    <w:lvl w:ilvl="3" w:tplc="1D103E5A">
      <w:start w:val="1"/>
      <w:numFmt w:val="bullet"/>
      <w:lvlText w:val=""/>
      <w:lvlJc w:val="left"/>
      <w:pPr>
        <w:ind w:left="2880" w:hanging="360"/>
      </w:pPr>
      <w:rPr>
        <w:rFonts w:ascii="Symbol" w:hAnsi="Symbol" w:hint="default"/>
      </w:rPr>
    </w:lvl>
    <w:lvl w:ilvl="4" w:tplc="94B44650">
      <w:start w:val="1"/>
      <w:numFmt w:val="bullet"/>
      <w:lvlText w:val="o"/>
      <w:lvlJc w:val="left"/>
      <w:pPr>
        <w:ind w:left="3600" w:hanging="360"/>
      </w:pPr>
      <w:rPr>
        <w:rFonts w:ascii="Courier New" w:hAnsi="Courier New" w:hint="default"/>
      </w:rPr>
    </w:lvl>
    <w:lvl w:ilvl="5" w:tplc="D25231E4">
      <w:start w:val="1"/>
      <w:numFmt w:val="bullet"/>
      <w:lvlText w:val=""/>
      <w:lvlJc w:val="left"/>
      <w:pPr>
        <w:ind w:left="4320" w:hanging="360"/>
      </w:pPr>
      <w:rPr>
        <w:rFonts w:ascii="Wingdings" w:hAnsi="Wingdings" w:hint="default"/>
      </w:rPr>
    </w:lvl>
    <w:lvl w:ilvl="6" w:tplc="58F2C422">
      <w:start w:val="1"/>
      <w:numFmt w:val="bullet"/>
      <w:lvlText w:val=""/>
      <w:lvlJc w:val="left"/>
      <w:pPr>
        <w:ind w:left="5040" w:hanging="360"/>
      </w:pPr>
      <w:rPr>
        <w:rFonts w:ascii="Symbol" w:hAnsi="Symbol" w:hint="default"/>
      </w:rPr>
    </w:lvl>
    <w:lvl w:ilvl="7" w:tplc="F08E39A2">
      <w:start w:val="1"/>
      <w:numFmt w:val="bullet"/>
      <w:lvlText w:val="o"/>
      <w:lvlJc w:val="left"/>
      <w:pPr>
        <w:ind w:left="5760" w:hanging="360"/>
      </w:pPr>
      <w:rPr>
        <w:rFonts w:ascii="Courier New" w:hAnsi="Courier New" w:hint="default"/>
      </w:rPr>
    </w:lvl>
    <w:lvl w:ilvl="8" w:tplc="6C76675C">
      <w:start w:val="1"/>
      <w:numFmt w:val="bullet"/>
      <w:lvlText w:val=""/>
      <w:lvlJc w:val="left"/>
      <w:pPr>
        <w:ind w:left="6480" w:hanging="360"/>
      </w:pPr>
      <w:rPr>
        <w:rFonts w:ascii="Wingdings" w:hAnsi="Wingdings" w:hint="default"/>
      </w:rPr>
    </w:lvl>
  </w:abstractNum>
  <w:abstractNum w:abstractNumId="26" w15:restartNumberingAfterBreak="0">
    <w:nsid w:val="64030173"/>
    <w:multiLevelType w:val="hybridMultilevel"/>
    <w:tmpl w:val="FFFFFFFF"/>
    <w:lvl w:ilvl="0" w:tplc="6EA2A13E">
      <w:start w:val="1"/>
      <w:numFmt w:val="bullet"/>
      <w:lvlText w:val="·"/>
      <w:lvlJc w:val="left"/>
      <w:pPr>
        <w:ind w:left="720" w:hanging="360"/>
      </w:pPr>
      <w:rPr>
        <w:rFonts w:ascii="Symbol" w:hAnsi="Symbol" w:hint="default"/>
      </w:rPr>
    </w:lvl>
    <w:lvl w:ilvl="1" w:tplc="41581ED8">
      <w:start w:val="1"/>
      <w:numFmt w:val="bullet"/>
      <w:lvlText w:val="o"/>
      <w:lvlJc w:val="left"/>
      <w:pPr>
        <w:ind w:left="1440" w:hanging="360"/>
      </w:pPr>
      <w:rPr>
        <w:rFonts w:ascii="Courier New" w:hAnsi="Courier New" w:hint="default"/>
      </w:rPr>
    </w:lvl>
    <w:lvl w:ilvl="2" w:tplc="9266D8D0">
      <w:start w:val="1"/>
      <w:numFmt w:val="bullet"/>
      <w:lvlText w:val=""/>
      <w:lvlJc w:val="left"/>
      <w:pPr>
        <w:ind w:left="2160" w:hanging="360"/>
      </w:pPr>
      <w:rPr>
        <w:rFonts w:ascii="Wingdings" w:hAnsi="Wingdings" w:hint="default"/>
      </w:rPr>
    </w:lvl>
    <w:lvl w:ilvl="3" w:tplc="4F70CBE2">
      <w:start w:val="1"/>
      <w:numFmt w:val="bullet"/>
      <w:lvlText w:val=""/>
      <w:lvlJc w:val="left"/>
      <w:pPr>
        <w:ind w:left="2880" w:hanging="360"/>
      </w:pPr>
      <w:rPr>
        <w:rFonts w:ascii="Symbol" w:hAnsi="Symbol" w:hint="default"/>
      </w:rPr>
    </w:lvl>
    <w:lvl w:ilvl="4" w:tplc="3E5A68FA">
      <w:start w:val="1"/>
      <w:numFmt w:val="bullet"/>
      <w:lvlText w:val="o"/>
      <w:lvlJc w:val="left"/>
      <w:pPr>
        <w:ind w:left="3600" w:hanging="360"/>
      </w:pPr>
      <w:rPr>
        <w:rFonts w:ascii="Courier New" w:hAnsi="Courier New" w:hint="default"/>
      </w:rPr>
    </w:lvl>
    <w:lvl w:ilvl="5" w:tplc="DEA60AC2">
      <w:start w:val="1"/>
      <w:numFmt w:val="bullet"/>
      <w:lvlText w:val=""/>
      <w:lvlJc w:val="left"/>
      <w:pPr>
        <w:ind w:left="4320" w:hanging="360"/>
      </w:pPr>
      <w:rPr>
        <w:rFonts w:ascii="Wingdings" w:hAnsi="Wingdings" w:hint="default"/>
      </w:rPr>
    </w:lvl>
    <w:lvl w:ilvl="6" w:tplc="172077E2">
      <w:start w:val="1"/>
      <w:numFmt w:val="bullet"/>
      <w:lvlText w:val=""/>
      <w:lvlJc w:val="left"/>
      <w:pPr>
        <w:ind w:left="5040" w:hanging="360"/>
      </w:pPr>
      <w:rPr>
        <w:rFonts w:ascii="Symbol" w:hAnsi="Symbol" w:hint="default"/>
      </w:rPr>
    </w:lvl>
    <w:lvl w:ilvl="7" w:tplc="7F46177E">
      <w:start w:val="1"/>
      <w:numFmt w:val="bullet"/>
      <w:lvlText w:val="o"/>
      <w:lvlJc w:val="left"/>
      <w:pPr>
        <w:ind w:left="5760" w:hanging="360"/>
      </w:pPr>
      <w:rPr>
        <w:rFonts w:ascii="Courier New" w:hAnsi="Courier New" w:hint="default"/>
      </w:rPr>
    </w:lvl>
    <w:lvl w:ilvl="8" w:tplc="7AB88722">
      <w:start w:val="1"/>
      <w:numFmt w:val="bullet"/>
      <w:lvlText w:val=""/>
      <w:lvlJc w:val="left"/>
      <w:pPr>
        <w:ind w:left="6480" w:hanging="360"/>
      </w:pPr>
      <w:rPr>
        <w:rFonts w:ascii="Wingdings" w:hAnsi="Wingdings" w:hint="default"/>
      </w:rPr>
    </w:lvl>
  </w:abstractNum>
  <w:abstractNum w:abstractNumId="27" w15:restartNumberingAfterBreak="0">
    <w:nsid w:val="6787626E"/>
    <w:multiLevelType w:val="hybridMultilevel"/>
    <w:tmpl w:val="E39E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A2A17"/>
    <w:multiLevelType w:val="hybridMultilevel"/>
    <w:tmpl w:val="FA4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D54A7"/>
    <w:multiLevelType w:val="hybridMultilevel"/>
    <w:tmpl w:val="FFFFFFFF"/>
    <w:lvl w:ilvl="0" w:tplc="AE323A0A">
      <w:start w:val="1"/>
      <w:numFmt w:val="bullet"/>
      <w:lvlText w:val="·"/>
      <w:lvlJc w:val="left"/>
      <w:pPr>
        <w:ind w:left="720" w:hanging="360"/>
      </w:pPr>
      <w:rPr>
        <w:rFonts w:ascii="Symbol" w:hAnsi="Symbol" w:hint="default"/>
      </w:rPr>
    </w:lvl>
    <w:lvl w:ilvl="1" w:tplc="1EEC8E08">
      <w:start w:val="1"/>
      <w:numFmt w:val="bullet"/>
      <w:lvlText w:val="o"/>
      <w:lvlJc w:val="left"/>
      <w:pPr>
        <w:ind w:left="1440" w:hanging="360"/>
      </w:pPr>
      <w:rPr>
        <w:rFonts w:ascii="Courier New" w:hAnsi="Courier New" w:hint="default"/>
      </w:rPr>
    </w:lvl>
    <w:lvl w:ilvl="2" w:tplc="6C626AEC">
      <w:start w:val="1"/>
      <w:numFmt w:val="bullet"/>
      <w:lvlText w:val=""/>
      <w:lvlJc w:val="left"/>
      <w:pPr>
        <w:ind w:left="2160" w:hanging="360"/>
      </w:pPr>
      <w:rPr>
        <w:rFonts w:ascii="Wingdings" w:hAnsi="Wingdings" w:hint="default"/>
      </w:rPr>
    </w:lvl>
    <w:lvl w:ilvl="3" w:tplc="6E8A1A9E">
      <w:start w:val="1"/>
      <w:numFmt w:val="bullet"/>
      <w:lvlText w:val=""/>
      <w:lvlJc w:val="left"/>
      <w:pPr>
        <w:ind w:left="2880" w:hanging="360"/>
      </w:pPr>
      <w:rPr>
        <w:rFonts w:ascii="Symbol" w:hAnsi="Symbol" w:hint="default"/>
      </w:rPr>
    </w:lvl>
    <w:lvl w:ilvl="4" w:tplc="A9047270">
      <w:start w:val="1"/>
      <w:numFmt w:val="bullet"/>
      <w:lvlText w:val="o"/>
      <w:lvlJc w:val="left"/>
      <w:pPr>
        <w:ind w:left="3600" w:hanging="360"/>
      </w:pPr>
      <w:rPr>
        <w:rFonts w:ascii="Courier New" w:hAnsi="Courier New" w:hint="default"/>
      </w:rPr>
    </w:lvl>
    <w:lvl w:ilvl="5" w:tplc="B21C6702">
      <w:start w:val="1"/>
      <w:numFmt w:val="bullet"/>
      <w:lvlText w:val=""/>
      <w:lvlJc w:val="left"/>
      <w:pPr>
        <w:ind w:left="4320" w:hanging="360"/>
      </w:pPr>
      <w:rPr>
        <w:rFonts w:ascii="Wingdings" w:hAnsi="Wingdings" w:hint="default"/>
      </w:rPr>
    </w:lvl>
    <w:lvl w:ilvl="6" w:tplc="1D0E1DA2">
      <w:start w:val="1"/>
      <w:numFmt w:val="bullet"/>
      <w:lvlText w:val=""/>
      <w:lvlJc w:val="left"/>
      <w:pPr>
        <w:ind w:left="5040" w:hanging="360"/>
      </w:pPr>
      <w:rPr>
        <w:rFonts w:ascii="Symbol" w:hAnsi="Symbol" w:hint="default"/>
      </w:rPr>
    </w:lvl>
    <w:lvl w:ilvl="7" w:tplc="2EEA28C2">
      <w:start w:val="1"/>
      <w:numFmt w:val="bullet"/>
      <w:lvlText w:val="o"/>
      <w:lvlJc w:val="left"/>
      <w:pPr>
        <w:ind w:left="5760" w:hanging="360"/>
      </w:pPr>
      <w:rPr>
        <w:rFonts w:ascii="Courier New" w:hAnsi="Courier New" w:hint="default"/>
      </w:rPr>
    </w:lvl>
    <w:lvl w:ilvl="8" w:tplc="25EC2F94">
      <w:start w:val="1"/>
      <w:numFmt w:val="bullet"/>
      <w:lvlText w:val=""/>
      <w:lvlJc w:val="left"/>
      <w:pPr>
        <w:ind w:left="6480" w:hanging="360"/>
      </w:pPr>
      <w:rPr>
        <w:rFonts w:ascii="Wingdings" w:hAnsi="Wingdings" w:hint="default"/>
      </w:rPr>
    </w:lvl>
  </w:abstractNum>
  <w:abstractNum w:abstractNumId="30" w15:restartNumberingAfterBreak="0">
    <w:nsid w:val="6FE5788E"/>
    <w:multiLevelType w:val="hybridMultilevel"/>
    <w:tmpl w:val="3DB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162CA"/>
    <w:multiLevelType w:val="hybridMultilevel"/>
    <w:tmpl w:val="FFFFFFFF"/>
    <w:lvl w:ilvl="0" w:tplc="31CA6B2E">
      <w:start w:val="1"/>
      <w:numFmt w:val="bullet"/>
      <w:lvlText w:val="·"/>
      <w:lvlJc w:val="left"/>
      <w:pPr>
        <w:ind w:left="720" w:hanging="360"/>
      </w:pPr>
      <w:rPr>
        <w:rFonts w:ascii="Symbol" w:hAnsi="Symbol" w:hint="default"/>
      </w:rPr>
    </w:lvl>
    <w:lvl w:ilvl="1" w:tplc="21C6EDE2">
      <w:start w:val="1"/>
      <w:numFmt w:val="bullet"/>
      <w:lvlText w:val="o"/>
      <w:lvlJc w:val="left"/>
      <w:pPr>
        <w:ind w:left="1440" w:hanging="360"/>
      </w:pPr>
      <w:rPr>
        <w:rFonts w:ascii="Courier New" w:hAnsi="Courier New" w:hint="default"/>
      </w:rPr>
    </w:lvl>
    <w:lvl w:ilvl="2" w:tplc="A514806E">
      <w:start w:val="1"/>
      <w:numFmt w:val="bullet"/>
      <w:lvlText w:val=""/>
      <w:lvlJc w:val="left"/>
      <w:pPr>
        <w:ind w:left="2160" w:hanging="360"/>
      </w:pPr>
      <w:rPr>
        <w:rFonts w:ascii="Wingdings" w:hAnsi="Wingdings" w:hint="default"/>
      </w:rPr>
    </w:lvl>
    <w:lvl w:ilvl="3" w:tplc="9E9C4196">
      <w:start w:val="1"/>
      <w:numFmt w:val="bullet"/>
      <w:lvlText w:val=""/>
      <w:lvlJc w:val="left"/>
      <w:pPr>
        <w:ind w:left="2880" w:hanging="360"/>
      </w:pPr>
      <w:rPr>
        <w:rFonts w:ascii="Symbol" w:hAnsi="Symbol" w:hint="default"/>
      </w:rPr>
    </w:lvl>
    <w:lvl w:ilvl="4" w:tplc="84226E1E">
      <w:start w:val="1"/>
      <w:numFmt w:val="bullet"/>
      <w:lvlText w:val="o"/>
      <w:lvlJc w:val="left"/>
      <w:pPr>
        <w:ind w:left="3600" w:hanging="360"/>
      </w:pPr>
      <w:rPr>
        <w:rFonts w:ascii="Courier New" w:hAnsi="Courier New" w:hint="default"/>
      </w:rPr>
    </w:lvl>
    <w:lvl w:ilvl="5" w:tplc="EAD8EA18">
      <w:start w:val="1"/>
      <w:numFmt w:val="bullet"/>
      <w:lvlText w:val=""/>
      <w:lvlJc w:val="left"/>
      <w:pPr>
        <w:ind w:left="4320" w:hanging="360"/>
      </w:pPr>
      <w:rPr>
        <w:rFonts w:ascii="Wingdings" w:hAnsi="Wingdings" w:hint="default"/>
      </w:rPr>
    </w:lvl>
    <w:lvl w:ilvl="6" w:tplc="1F78995C">
      <w:start w:val="1"/>
      <w:numFmt w:val="bullet"/>
      <w:lvlText w:val=""/>
      <w:lvlJc w:val="left"/>
      <w:pPr>
        <w:ind w:left="5040" w:hanging="360"/>
      </w:pPr>
      <w:rPr>
        <w:rFonts w:ascii="Symbol" w:hAnsi="Symbol" w:hint="default"/>
      </w:rPr>
    </w:lvl>
    <w:lvl w:ilvl="7" w:tplc="DCE6F100">
      <w:start w:val="1"/>
      <w:numFmt w:val="bullet"/>
      <w:lvlText w:val="o"/>
      <w:lvlJc w:val="left"/>
      <w:pPr>
        <w:ind w:left="5760" w:hanging="360"/>
      </w:pPr>
      <w:rPr>
        <w:rFonts w:ascii="Courier New" w:hAnsi="Courier New" w:hint="default"/>
      </w:rPr>
    </w:lvl>
    <w:lvl w:ilvl="8" w:tplc="550ACCA0">
      <w:start w:val="1"/>
      <w:numFmt w:val="bullet"/>
      <w:lvlText w:val=""/>
      <w:lvlJc w:val="left"/>
      <w:pPr>
        <w:ind w:left="6480" w:hanging="360"/>
      </w:pPr>
      <w:rPr>
        <w:rFonts w:ascii="Wingdings" w:hAnsi="Wingdings" w:hint="default"/>
      </w:rPr>
    </w:lvl>
  </w:abstractNum>
  <w:abstractNum w:abstractNumId="32" w15:restartNumberingAfterBreak="0">
    <w:nsid w:val="7608757C"/>
    <w:multiLevelType w:val="hybridMultilevel"/>
    <w:tmpl w:val="FFFFFFFF"/>
    <w:lvl w:ilvl="0" w:tplc="B37C4EC8">
      <w:start w:val="1"/>
      <w:numFmt w:val="bullet"/>
      <w:lvlText w:val="·"/>
      <w:lvlJc w:val="left"/>
      <w:pPr>
        <w:ind w:left="720" w:hanging="360"/>
      </w:pPr>
      <w:rPr>
        <w:rFonts w:ascii="Symbol" w:hAnsi="Symbol" w:hint="default"/>
      </w:rPr>
    </w:lvl>
    <w:lvl w:ilvl="1" w:tplc="B11C06BC">
      <w:start w:val="1"/>
      <w:numFmt w:val="bullet"/>
      <w:lvlText w:val="o"/>
      <w:lvlJc w:val="left"/>
      <w:pPr>
        <w:ind w:left="1440" w:hanging="360"/>
      </w:pPr>
      <w:rPr>
        <w:rFonts w:ascii="Courier New" w:hAnsi="Courier New" w:hint="default"/>
      </w:rPr>
    </w:lvl>
    <w:lvl w:ilvl="2" w:tplc="9E3281C6">
      <w:start w:val="1"/>
      <w:numFmt w:val="bullet"/>
      <w:lvlText w:val=""/>
      <w:lvlJc w:val="left"/>
      <w:pPr>
        <w:ind w:left="2160" w:hanging="360"/>
      </w:pPr>
      <w:rPr>
        <w:rFonts w:ascii="Wingdings" w:hAnsi="Wingdings" w:hint="default"/>
      </w:rPr>
    </w:lvl>
    <w:lvl w:ilvl="3" w:tplc="FC863806">
      <w:start w:val="1"/>
      <w:numFmt w:val="bullet"/>
      <w:lvlText w:val=""/>
      <w:lvlJc w:val="left"/>
      <w:pPr>
        <w:ind w:left="2880" w:hanging="360"/>
      </w:pPr>
      <w:rPr>
        <w:rFonts w:ascii="Symbol" w:hAnsi="Symbol" w:hint="default"/>
      </w:rPr>
    </w:lvl>
    <w:lvl w:ilvl="4" w:tplc="99F6E5F8">
      <w:start w:val="1"/>
      <w:numFmt w:val="bullet"/>
      <w:lvlText w:val="o"/>
      <w:lvlJc w:val="left"/>
      <w:pPr>
        <w:ind w:left="3600" w:hanging="360"/>
      </w:pPr>
      <w:rPr>
        <w:rFonts w:ascii="Courier New" w:hAnsi="Courier New" w:hint="default"/>
      </w:rPr>
    </w:lvl>
    <w:lvl w:ilvl="5" w:tplc="17C06456">
      <w:start w:val="1"/>
      <w:numFmt w:val="bullet"/>
      <w:lvlText w:val=""/>
      <w:lvlJc w:val="left"/>
      <w:pPr>
        <w:ind w:left="4320" w:hanging="360"/>
      </w:pPr>
      <w:rPr>
        <w:rFonts w:ascii="Wingdings" w:hAnsi="Wingdings" w:hint="default"/>
      </w:rPr>
    </w:lvl>
    <w:lvl w:ilvl="6" w:tplc="CCA6B10E">
      <w:start w:val="1"/>
      <w:numFmt w:val="bullet"/>
      <w:lvlText w:val=""/>
      <w:lvlJc w:val="left"/>
      <w:pPr>
        <w:ind w:left="5040" w:hanging="360"/>
      </w:pPr>
      <w:rPr>
        <w:rFonts w:ascii="Symbol" w:hAnsi="Symbol" w:hint="default"/>
      </w:rPr>
    </w:lvl>
    <w:lvl w:ilvl="7" w:tplc="F9EC73C8">
      <w:start w:val="1"/>
      <w:numFmt w:val="bullet"/>
      <w:lvlText w:val="o"/>
      <w:lvlJc w:val="left"/>
      <w:pPr>
        <w:ind w:left="5760" w:hanging="360"/>
      </w:pPr>
      <w:rPr>
        <w:rFonts w:ascii="Courier New" w:hAnsi="Courier New" w:hint="default"/>
      </w:rPr>
    </w:lvl>
    <w:lvl w:ilvl="8" w:tplc="5C92C836">
      <w:start w:val="1"/>
      <w:numFmt w:val="bullet"/>
      <w:lvlText w:val=""/>
      <w:lvlJc w:val="left"/>
      <w:pPr>
        <w:ind w:left="6480" w:hanging="360"/>
      </w:pPr>
      <w:rPr>
        <w:rFonts w:ascii="Wingdings" w:hAnsi="Wingdings" w:hint="default"/>
      </w:rPr>
    </w:lvl>
  </w:abstractNum>
  <w:abstractNum w:abstractNumId="33" w15:restartNumberingAfterBreak="0">
    <w:nsid w:val="777A4C4F"/>
    <w:multiLevelType w:val="hybridMultilevel"/>
    <w:tmpl w:val="F2F6665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52DA3"/>
    <w:multiLevelType w:val="hybridMultilevel"/>
    <w:tmpl w:val="DF66DDC8"/>
    <w:lvl w:ilvl="0" w:tplc="FE4C5ED4">
      <w:start w:val="1"/>
      <w:numFmt w:val="bullet"/>
      <w:lvlText w:val=""/>
      <w:lvlJc w:val="left"/>
      <w:pPr>
        <w:ind w:left="1080" w:hanging="720"/>
      </w:pPr>
      <w:rPr>
        <w:rFonts w:ascii="Symbol" w:hAnsi="Symbol" w:hint="default"/>
      </w:rPr>
    </w:lvl>
    <w:lvl w:ilvl="1" w:tplc="5ECACC22">
      <w:start w:val="1"/>
      <w:numFmt w:val="bullet"/>
      <w:lvlText w:val="o"/>
      <w:lvlJc w:val="left"/>
      <w:pPr>
        <w:ind w:left="1440" w:hanging="360"/>
      </w:pPr>
      <w:rPr>
        <w:rFonts w:ascii="Courier New" w:hAnsi="Courier New" w:cs="Courier New" w:hint="default"/>
      </w:rPr>
    </w:lvl>
    <w:lvl w:ilvl="2" w:tplc="C264236E">
      <w:start w:val="1"/>
      <w:numFmt w:val="bullet"/>
      <w:lvlText w:val=""/>
      <w:lvlJc w:val="left"/>
      <w:pPr>
        <w:ind w:left="2160" w:hanging="360"/>
      </w:pPr>
      <w:rPr>
        <w:rFonts w:ascii="Wingdings" w:hAnsi="Wingdings" w:hint="default"/>
      </w:rPr>
    </w:lvl>
    <w:lvl w:ilvl="3" w:tplc="8668EA6C">
      <w:start w:val="1"/>
      <w:numFmt w:val="bullet"/>
      <w:lvlText w:val=""/>
      <w:lvlJc w:val="left"/>
      <w:pPr>
        <w:ind w:left="2880" w:hanging="360"/>
      </w:pPr>
      <w:rPr>
        <w:rFonts w:ascii="Symbol" w:hAnsi="Symbol" w:hint="default"/>
      </w:rPr>
    </w:lvl>
    <w:lvl w:ilvl="4" w:tplc="C6AC4152">
      <w:start w:val="1"/>
      <w:numFmt w:val="bullet"/>
      <w:lvlText w:val="o"/>
      <w:lvlJc w:val="left"/>
      <w:pPr>
        <w:ind w:left="3600" w:hanging="360"/>
      </w:pPr>
      <w:rPr>
        <w:rFonts w:ascii="Courier New" w:hAnsi="Courier New" w:cs="Courier New" w:hint="default"/>
      </w:rPr>
    </w:lvl>
    <w:lvl w:ilvl="5" w:tplc="7098F87C">
      <w:start w:val="1"/>
      <w:numFmt w:val="bullet"/>
      <w:lvlText w:val=""/>
      <w:lvlJc w:val="left"/>
      <w:pPr>
        <w:ind w:left="4320" w:hanging="360"/>
      </w:pPr>
      <w:rPr>
        <w:rFonts w:ascii="Wingdings" w:hAnsi="Wingdings" w:hint="default"/>
      </w:rPr>
    </w:lvl>
    <w:lvl w:ilvl="6" w:tplc="54EC77EA">
      <w:start w:val="1"/>
      <w:numFmt w:val="bullet"/>
      <w:lvlText w:val=""/>
      <w:lvlJc w:val="left"/>
      <w:pPr>
        <w:ind w:left="5040" w:hanging="360"/>
      </w:pPr>
      <w:rPr>
        <w:rFonts w:ascii="Symbol" w:hAnsi="Symbol" w:hint="default"/>
      </w:rPr>
    </w:lvl>
    <w:lvl w:ilvl="7" w:tplc="EE107CDA">
      <w:start w:val="1"/>
      <w:numFmt w:val="bullet"/>
      <w:lvlText w:val="o"/>
      <w:lvlJc w:val="left"/>
      <w:pPr>
        <w:ind w:left="5760" w:hanging="360"/>
      </w:pPr>
      <w:rPr>
        <w:rFonts w:ascii="Courier New" w:hAnsi="Courier New" w:cs="Courier New" w:hint="default"/>
      </w:rPr>
    </w:lvl>
    <w:lvl w:ilvl="8" w:tplc="15E090DC">
      <w:start w:val="1"/>
      <w:numFmt w:val="bullet"/>
      <w:lvlText w:val=""/>
      <w:lvlJc w:val="left"/>
      <w:pPr>
        <w:ind w:left="6480" w:hanging="360"/>
      </w:pPr>
      <w:rPr>
        <w:rFonts w:ascii="Wingdings" w:hAnsi="Wingdings" w:hint="default"/>
      </w:rPr>
    </w:lvl>
  </w:abstractNum>
  <w:abstractNum w:abstractNumId="35" w15:restartNumberingAfterBreak="0">
    <w:nsid w:val="7A450508"/>
    <w:multiLevelType w:val="hybridMultilevel"/>
    <w:tmpl w:val="45C0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97D3E"/>
    <w:multiLevelType w:val="hybridMultilevel"/>
    <w:tmpl w:val="2CD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B53F1"/>
    <w:multiLevelType w:val="hybridMultilevel"/>
    <w:tmpl w:val="29B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1"/>
  </w:num>
  <w:num w:numId="4">
    <w:abstractNumId w:val="15"/>
  </w:num>
  <w:num w:numId="5">
    <w:abstractNumId w:val="11"/>
  </w:num>
  <w:num w:numId="6">
    <w:abstractNumId w:val="26"/>
  </w:num>
  <w:num w:numId="7">
    <w:abstractNumId w:val="24"/>
  </w:num>
  <w:num w:numId="8">
    <w:abstractNumId w:val="22"/>
  </w:num>
  <w:num w:numId="9">
    <w:abstractNumId w:val="13"/>
  </w:num>
  <w:num w:numId="10">
    <w:abstractNumId w:val="4"/>
  </w:num>
  <w:num w:numId="11">
    <w:abstractNumId w:val="2"/>
  </w:num>
  <w:num w:numId="12">
    <w:abstractNumId w:val="1"/>
  </w:num>
  <w:num w:numId="13">
    <w:abstractNumId w:val="3"/>
  </w:num>
  <w:num w:numId="14">
    <w:abstractNumId w:val="0"/>
  </w:num>
  <w:num w:numId="15">
    <w:abstractNumId w:val="5"/>
  </w:num>
  <w:num w:numId="16">
    <w:abstractNumId w:val="7"/>
  </w:num>
  <w:num w:numId="17">
    <w:abstractNumId w:val="20"/>
  </w:num>
  <w:num w:numId="18">
    <w:abstractNumId w:val="8"/>
  </w:num>
  <w:num w:numId="19">
    <w:abstractNumId w:val="35"/>
  </w:num>
  <w:num w:numId="20">
    <w:abstractNumId w:val="33"/>
  </w:num>
  <w:num w:numId="21">
    <w:abstractNumId w:val="9"/>
  </w:num>
  <w:num w:numId="22">
    <w:abstractNumId w:val="10"/>
  </w:num>
  <w:num w:numId="23">
    <w:abstractNumId w:val="23"/>
  </w:num>
  <w:num w:numId="24">
    <w:abstractNumId w:val="17"/>
  </w:num>
  <w:num w:numId="25">
    <w:abstractNumId w:val="3"/>
    <w:lvlOverride w:ilvl="0">
      <w:startOverride w:val="1"/>
    </w:lvlOverride>
  </w:num>
  <w:num w:numId="26">
    <w:abstractNumId w:val="28"/>
  </w:num>
  <w:num w:numId="27">
    <w:abstractNumId w:val="32"/>
  </w:num>
  <w:num w:numId="28">
    <w:abstractNumId w:val="14"/>
  </w:num>
  <w:num w:numId="29">
    <w:abstractNumId w:val="29"/>
  </w:num>
  <w:num w:numId="30">
    <w:abstractNumId w:val="31"/>
  </w:num>
  <w:num w:numId="31">
    <w:abstractNumId w:val="12"/>
  </w:num>
  <w:num w:numId="32">
    <w:abstractNumId w:val="37"/>
  </w:num>
  <w:num w:numId="33">
    <w:abstractNumId w:val="34"/>
  </w:num>
  <w:num w:numId="34">
    <w:abstractNumId w:val="34"/>
  </w:num>
  <w:num w:numId="35">
    <w:abstractNumId w:val="16"/>
  </w:num>
  <w:num w:numId="36">
    <w:abstractNumId w:val="36"/>
  </w:num>
  <w:num w:numId="37">
    <w:abstractNumId w:val="27"/>
  </w:num>
  <w:num w:numId="38">
    <w:abstractNumId w:val="19"/>
  </w:num>
  <w:num w:numId="39">
    <w:abstractNumId w:val="6"/>
  </w:num>
  <w:num w:numId="40">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DA"/>
    <w:rsid w:val="00001680"/>
    <w:rsid w:val="000024DC"/>
    <w:rsid w:val="00004B6B"/>
    <w:rsid w:val="00007A45"/>
    <w:rsid w:val="00007FFA"/>
    <w:rsid w:val="000111AF"/>
    <w:rsid w:val="00012A21"/>
    <w:rsid w:val="00014571"/>
    <w:rsid w:val="0001517C"/>
    <w:rsid w:val="00016496"/>
    <w:rsid w:val="00024323"/>
    <w:rsid w:val="00025B13"/>
    <w:rsid w:val="00025EEC"/>
    <w:rsid w:val="00030E44"/>
    <w:rsid w:val="00030E51"/>
    <w:rsid w:val="00033B91"/>
    <w:rsid w:val="00034072"/>
    <w:rsid w:val="00034DE5"/>
    <w:rsid w:val="00040705"/>
    <w:rsid w:val="00040A6E"/>
    <w:rsid w:val="0004287C"/>
    <w:rsid w:val="000429F2"/>
    <w:rsid w:val="000434BE"/>
    <w:rsid w:val="000447D3"/>
    <w:rsid w:val="00044C09"/>
    <w:rsid w:val="00045568"/>
    <w:rsid w:val="00051363"/>
    <w:rsid w:val="0005397C"/>
    <w:rsid w:val="00054289"/>
    <w:rsid w:val="000566B8"/>
    <w:rsid w:val="00056A4B"/>
    <w:rsid w:val="00060E9E"/>
    <w:rsid w:val="000653C4"/>
    <w:rsid w:val="0006570B"/>
    <w:rsid w:val="0006690B"/>
    <w:rsid w:val="00070894"/>
    <w:rsid w:val="00070D20"/>
    <w:rsid w:val="000725B8"/>
    <w:rsid w:val="000745A0"/>
    <w:rsid w:val="00075BC8"/>
    <w:rsid w:val="00076CFC"/>
    <w:rsid w:val="000827CD"/>
    <w:rsid w:val="00087B9F"/>
    <w:rsid w:val="0009032A"/>
    <w:rsid w:val="0009510C"/>
    <w:rsid w:val="000951BB"/>
    <w:rsid w:val="000966A8"/>
    <w:rsid w:val="000A1728"/>
    <w:rsid w:val="000A1F94"/>
    <w:rsid w:val="000A4326"/>
    <w:rsid w:val="000A5C2E"/>
    <w:rsid w:val="000A6239"/>
    <w:rsid w:val="000A7801"/>
    <w:rsid w:val="000B058D"/>
    <w:rsid w:val="000B1919"/>
    <w:rsid w:val="000B4C8C"/>
    <w:rsid w:val="000C0FB5"/>
    <w:rsid w:val="000C22F7"/>
    <w:rsid w:val="000C2BF7"/>
    <w:rsid w:val="000C2C9F"/>
    <w:rsid w:val="000C6777"/>
    <w:rsid w:val="000D20FC"/>
    <w:rsid w:val="000D2DBF"/>
    <w:rsid w:val="000D45F4"/>
    <w:rsid w:val="000D5648"/>
    <w:rsid w:val="000D6615"/>
    <w:rsid w:val="000E03B8"/>
    <w:rsid w:val="000F0135"/>
    <w:rsid w:val="000F1B95"/>
    <w:rsid w:val="000F50E5"/>
    <w:rsid w:val="000F61B7"/>
    <w:rsid w:val="000F6FE4"/>
    <w:rsid w:val="000F7208"/>
    <w:rsid w:val="00100F20"/>
    <w:rsid w:val="00104153"/>
    <w:rsid w:val="00104C5E"/>
    <w:rsid w:val="00105B80"/>
    <w:rsid w:val="001066DD"/>
    <w:rsid w:val="00115A3F"/>
    <w:rsid w:val="001216DB"/>
    <w:rsid w:val="0012364F"/>
    <w:rsid w:val="001251DE"/>
    <w:rsid w:val="00126797"/>
    <w:rsid w:val="00130239"/>
    <w:rsid w:val="0013413E"/>
    <w:rsid w:val="0013431B"/>
    <w:rsid w:val="001344F7"/>
    <w:rsid w:val="00135446"/>
    <w:rsid w:val="0013628D"/>
    <w:rsid w:val="00140B9F"/>
    <w:rsid w:val="00142623"/>
    <w:rsid w:val="00142F66"/>
    <w:rsid w:val="001444C9"/>
    <w:rsid w:val="00146E6C"/>
    <w:rsid w:val="00147E0E"/>
    <w:rsid w:val="00150E57"/>
    <w:rsid w:val="00150F0B"/>
    <w:rsid w:val="00152090"/>
    <w:rsid w:val="0015231C"/>
    <w:rsid w:val="001523C3"/>
    <w:rsid w:val="001541D3"/>
    <w:rsid w:val="00154624"/>
    <w:rsid w:val="001568E3"/>
    <w:rsid w:val="0015753B"/>
    <w:rsid w:val="00160375"/>
    <w:rsid w:val="00160398"/>
    <w:rsid w:val="00160B10"/>
    <w:rsid w:val="00162F44"/>
    <w:rsid w:val="00163D47"/>
    <w:rsid w:val="00164742"/>
    <w:rsid w:val="001656D7"/>
    <w:rsid w:val="00166D9C"/>
    <w:rsid w:val="00167587"/>
    <w:rsid w:val="00167C0C"/>
    <w:rsid w:val="001705E2"/>
    <w:rsid w:val="00173E4A"/>
    <w:rsid w:val="001760BA"/>
    <w:rsid w:val="00176A4D"/>
    <w:rsid w:val="0017776D"/>
    <w:rsid w:val="00177DF9"/>
    <w:rsid w:val="00184681"/>
    <w:rsid w:val="0018518A"/>
    <w:rsid w:val="00185B41"/>
    <w:rsid w:val="00186C2A"/>
    <w:rsid w:val="00187418"/>
    <w:rsid w:val="0018756E"/>
    <w:rsid w:val="001912B6"/>
    <w:rsid w:val="00193093"/>
    <w:rsid w:val="00193421"/>
    <w:rsid w:val="0019464B"/>
    <w:rsid w:val="00195B29"/>
    <w:rsid w:val="001A0F5B"/>
    <w:rsid w:val="001A195F"/>
    <w:rsid w:val="001A3A7E"/>
    <w:rsid w:val="001A4148"/>
    <w:rsid w:val="001A453D"/>
    <w:rsid w:val="001A5325"/>
    <w:rsid w:val="001A7718"/>
    <w:rsid w:val="001B117A"/>
    <w:rsid w:val="001B1338"/>
    <w:rsid w:val="001B283E"/>
    <w:rsid w:val="001B31B7"/>
    <w:rsid w:val="001B4636"/>
    <w:rsid w:val="001B473A"/>
    <w:rsid w:val="001B4DB1"/>
    <w:rsid w:val="001B562A"/>
    <w:rsid w:val="001B6F20"/>
    <w:rsid w:val="001C2B7E"/>
    <w:rsid w:val="001C37D9"/>
    <w:rsid w:val="001C5500"/>
    <w:rsid w:val="001C6B9C"/>
    <w:rsid w:val="001D230B"/>
    <w:rsid w:val="001D2A4D"/>
    <w:rsid w:val="001D2FFA"/>
    <w:rsid w:val="001D4B4E"/>
    <w:rsid w:val="001D5AA0"/>
    <w:rsid w:val="001D6161"/>
    <w:rsid w:val="001D6BA1"/>
    <w:rsid w:val="001D7D98"/>
    <w:rsid w:val="001E19D6"/>
    <w:rsid w:val="001E23CE"/>
    <w:rsid w:val="001E276B"/>
    <w:rsid w:val="001E2BC6"/>
    <w:rsid w:val="001E46D3"/>
    <w:rsid w:val="001E498C"/>
    <w:rsid w:val="001E5847"/>
    <w:rsid w:val="001E606A"/>
    <w:rsid w:val="001F0546"/>
    <w:rsid w:val="001F1C14"/>
    <w:rsid w:val="001F36AA"/>
    <w:rsid w:val="001F41EA"/>
    <w:rsid w:val="001F4E67"/>
    <w:rsid w:val="001F76DA"/>
    <w:rsid w:val="00201AC0"/>
    <w:rsid w:val="00205886"/>
    <w:rsid w:val="002071D6"/>
    <w:rsid w:val="00210D2F"/>
    <w:rsid w:val="00211696"/>
    <w:rsid w:val="00211A43"/>
    <w:rsid w:val="00212EEF"/>
    <w:rsid w:val="00215B0F"/>
    <w:rsid w:val="00216E31"/>
    <w:rsid w:val="0022112D"/>
    <w:rsid w:val="00223BF5"/>
    <w:rsid w:val="00225906"/>
    <w:rsid w:val="00226375"/>
    <w:rsid w:val="00227E93"/>
    <w:rsid w:val="002304A9"/>
    <w:rsid w:val="00230863"/>
    <w:rsid w:val="002315E9"/>
    <w:rsid w:val="002321CD"/>
    <w:rsid w:val="00233F9B"/>
    <w:rsid w:val="00234C81"/>
    <w:rsid w:val="00235E98"/>
    <w:rsid w:val="0023600E"/>
    <w:rsid w:val="00236445"/>
    <w:rsid w:val="00240131"/>
    <w:rsid w:val="00243198"/>
    <w:rsid w:val="00243B52"/>
    <w:rsid w:val="00244441"/>
    <w:rsid w:val="002465FC"/>
    <w:rsid w:val="00246E6D"/>
    <w:rsid w:val="002506BB"/>
    <w:rsid w:val="0025283B"/>
    <w:rsid w:val="00252B25"/>
    <w:rsid w:val="00253382"/>
    <w:rsid w:val="00253BF9"/>
    <w:rsid w:val="00254909"/>
    <w:rsid w:val="0026009A"/>
    <w:rsid w:val="00260DF7"/>
    <w:rsid w:val="002622CD"/>
    <w:rsid w:val="0026242D"/>
    <w:rsid w:val="002626CF"/>
    <w:rsid w:val="00262D51"/>
    <w:rsid w:val="00263E5F"/>
    <w:rsid w:val="00265D68"/>
    <w:rsid w:val="0026629E"/>
    <w:rsid w:val="00270321"/>
    <w:rsid w:val="00270554"/>
    <w:rsid w:val="00270A48"/>
    <w:rsid w:val="00271549"/>
    <w:rsid w:val="002716F4"/>
    <w:rsid w:val="00273376"/>
    <w:rsid w:val="00273671"/>
    <w:rsid w:val="00273C43"/>
    <w:rsid w:val="002740C5"/>
    <w:rsid w:val="0027778C"/>
    <w:rsid w:val="0028067D"/>
    <w:rsid w:val="00280E50"/>
    <w:rsid w:val="00280F0B"/>
    <w:rsid w:val="00281035"/>
    <w:rsid w:val="00282C68"/>
    <w:rsid w:val="002834D6"/>
    <w:rsid w:val="002834E4"/>
    <w:rsid w:val="00283593"/>
    <w:rsid w:val="00286B71"/>
    <w:rsid w:val="00291E0A"/>
    <w:rsid w:val="00292C80"/>
    <w:rsid w:val="00294858"/>
    <w:rsid w:val="00295479"/>
    <w:rsid w:val="0029573B"/>
    <w:rsid w:val="002A40F9"/>
    <w:rsid w:val="002A48F1"/>
    <w:rsid w:val="002A631F"/>
    <w:rsid w:val="002B0B01"/>
    <w:rsid w:val="002B1D4B"/>
    <w:rsid w:val="002B5CC8"/>
    <w:rsid w:val="002B5F5C"/>
    <w:rsid w:val="002B6005"/>
    <w:rsid w:val="002B6E0A"/>
    <w:rsid w:val="002C0BA8"/>
    <w:rsid w:val="002C6E4F"/>
    <w:rsid w:val="002C79C4"/>
    <w:rsid w:val="002D0F2B"/>
    <w:rsid w:val="002D2486"/>
    <w:rsid w:val="002D36F9"/>
    <w:rsid w:val="002D5898"/>
    <w:rsid w:val="002D5BF1"/>
    <w:rsid w:val="002D5FE6"/>
    <w:rsid w:val="002D6A96"/>
    <w:rsid w:val="002D7B43"/>
    <w:rsid w:val="002E0C9F"/>
    <w:rsid w:val="002E0EC1"/>
    <w:rsid w:val="002E62FC"/>
    <w:rsid w:val="002F14F5"/>
    <w:rsid w:val="002F246D"/>
    <w:rsid w:val="002F6B26"/>
    <w:rsid w:val="002F7EF8"/>
    <w:rsid w:val="00301EDF"/>
    <w:rsid w:val="00307072"/>
    <w:rsid w:val="00312C02"/>
    <w:rsid w:val="00313B91"/>
    <w:rsid w:val="00315F38"/>
    <w:rsid w:val="0031664C"/>
    <w:rsid w:val="003179EE"/>
    <w:rsid w:val="00324814"/>
    <w:rsid w:val="00332766"/>
    <w:rsid w:val="0033580B"/>
    <w:rsid w:val="00341C10"/>
    <w:rsid w:val="00344712"/>
    <w:rsid w:val="003470E6"/>
    <w:rsid w:val="00352F52"/>
    <w:rsid w:val="00353649"/>
    <w:rsid w:val="00353AE5"/>
    <w:rsid w:val="00354F46"/>
    <w:rsid w:val="00355E43"/>
    <w:rsid w:val="00357EAF"/>
    <w:rsid w:val="00360402"/>
    <w:rsid w:val="0036258B"/>
    <w:rsid w:val="003635D1"/>
    <w:rsid w:val="0036476E"/>
    <w:rsid w:val="0036766B"/>
    <w:rsid w:val="003678A1"/>
    <w:rsid w:val="0037118E"/>
    <w:rsid w:val="003720A0"/>
    <w:rsid w:val="0037319D"/>
    <w:rsid w:val="00373A55"/>
    <w:rsid w:val="00375812"/>
    <w:rsid w:val="0037678E"/>
    <w:rsid w:val="003817A8"/>
    <w:rsid w:val="00381F53"/>
    <w:rsid w:val="003821F9"/>
    <w:rsid w:val="00382AB7"/>
    <w:rsid w:val="003831B6"/>
    <w:rsid w:val="00384D07"/>
    <w:rsid w:val="003852ED"/>
    <w:rsid w:val="00385B53"/>
    <w:rsid w:val="00385C8A"/>
    <w:rsid w:val="00385F4C"/>
    <w:rsid w:val="0039020F"/>
    <w:rsid w:val="0039395D"/>
    <w:rsid w:val="00394073"/>
    <w:rsid w:val="003968D5"/>
    <w:rsid w:val="003968EE"/>
    <w:rsid w:val="003A21CC"/>
    <w:rsid w:val="003A334B"/>
    <w:rsid w:val="003B0F0A"/>
    <w:rsid w:val="003B27D5"/>
    <w:rsid w:val="003B5A41"/>
    <w:rsid w:val="003B6A83"/>
    <w:rsid w:val="003C1436"/>
    <w:rsid w:val="003C3069"/>
    <w:rsid w:val="003C414C"/>
    <w:rsid w:val="003C6C08"/>
    <w:rsid w:val="003D4203"/>
    <w:rsid w:val="003D47FF"/>
    <w:rsid w:val="003D5877"/>
    <w:rsid w:val="003D7E15"/>
    <w:rsid w:val="003E3334"/>
    <w:rsid w:val="003E58AB"/>
    <w:rsid w:val="003E6685"/>
    <w:rsid w:val="003F01F1"/>
    <w:rsid w:val="003F0C9E"/>
    <w:rsid w:val="003F1839"/>
    <w:rsid w:val="003F1937"/>
    <w:rsid w:val="003F1A87"/>
    <w:rsid w:val="003F20FF"/>
    <w:rsid w:val="003F4F69"/>
    <w:rsid w:val="003F53E9"/>
    <w:rsid w:val="003F59B1"/>
    <w:rsid w:val="003F6280"/>
    <w:rsid w:val="003F73E0"/>
    <w:rsid w:val="003F7F28"/>
    <w:rsid w:val="004000D7"/>
    <w:rsid w:val="00400C35"/>
    <w:rsid w:val="004016E3"/>
    <w:rsid w:val="004024FC"/>
    <w:rsid w:val="00406E56"/>
    <w:rsid w:val="004100A9"/>
    <w:rsid w:val="0041026B"/>
    <w:rsid w:val="00410F95"/>
    <w:rsid w:val="00416375"/>
    <w:rsid w:val="004173C1"/>
    <w:rsid w:val="00427358"/>
    <w:rsid w:val="0043197E"/>
    <w:rsid w:val="0043280D"/>
    <w:rsid w:val="00437204"/>
    <w:rsid w:val="0044049E"/>
    <w:rsid w:val="00441079"/>
    <w:rsid w:val="0044287D"/>
    <w:rsid w:val="00442D6A"/>
    <w:rsid w:val="00443C69"/>
    <w:rsid w:val="00444712"/>
    <w:rsid w:val="00444B32"/>
    <w:rsid w:val="00452449"/>
    <w:rsid w:val="00453263"/>
    <w:rsid w:val="00455C63"/>
    <w:rsid w:val="0045655D"/>
    <w:rsid w:val="00457B7D"/>
    <w:rsid w:val="00457E86"/>
    <w:rsid w:val="00457F51"/>
    <w:rsid w:val="004613CB"/>
    <w:rsid w:val="00463241"/>
    <w:rsid w:val="0046398F"/>
    <w:rsid w:val="004678F5"/>
    <w:rsid w:val="00470FEC"/>
    <w:rsid w:val="004710D6"/>
    <w:rsid w:val="00471772"/>
    <w:rsid w:val="00473362"/>
    <w:rsid w:val="00473739"/>
    <w:rsid w:val="00473CA2"/>
    <w:rsid w:val="004774B2"/>
    <w:rsid w:val="00477A13"/>
    <w:rsid w:val="00480307"/>
    <w:rsid w:val="00484967"/>
    <w:rsid w:val="0048639B"/>
    <w:rsid w:val="004864AA"/>
    <w:rsid w:val="00490A50"/>
    <w:rsid w:val="00492917"/>
    <w:rsid w:val="004953A2"/>
    <w:rsid w:val="004954B1"/>
    <w:rsid w:val="004A0571"/>
    <w:rsid w:val="004A0873"/>
    <w:rsid w:val="004A0980"/>
    <w:rsid w:val="004A15B2"/>
    <w:rsid w:val="004A4F06"/>
    <w:rsid w:val="004A52DA"/>
    <w:rsid w:val="004A56CF"/>
    <w:rsid w:val="004A7554"/>
    <w:rsid w:val="004A7DFB"/>
    <w:rsid w:val="004B3386"/>
    <w:rsid w:val="004B4516"/>
    <w:rsid w:val="004B4E9E"/>
    <w:rsid w:val="004B5141"/>
    <w:rsid w:val="004C1684"/>
    <w:rsid w:val="004C2175"/>
    <w:rsid w:val="004C2B55"/>
    <w:rsid w:val="004C41CA"/>
    <w:rsid w:val="004D102A"/>
    <w:rsid w:val="004D1790"/>
    <w:rsid w:val="004D2777"/>
    <w:rsid w:val="004D3FEC"/>
    <w:rsid w:val="004D6A39"/>
    <w:rsid w:val="004D716C"/>
    <w:rsid w:val="004D7318"/>
    <w:rsid w:val="004E0A85"/>
    <w:rsid w:val="004E1C25"/>
    <w:rsid w:val="004E1D3B"/>
    <w:rsid w:val="004E35B9"/>
    <w:rsid w:val="004E54CC"/>
    <w:rsid w:val="004E6341"/>
    <w:rsid w:val="004E6F3E"/>
    <w:rsid w:val="004E7DCF"/>
    <w:rsid w:val="004F1D13"/>
    <w:rsid w:val="004F53F3"/>
    <w:rsid w:val="004F5891"/>
    <w:rsid w:val="004F74DB"/>
    <w:rsid w:val="004F7B6F"/>
    <w:rsid w:val="005012A8"/>
    <w:rsid w:val="00502C84"/>
    <w:rsid w:val="00506419"/>
    <w:rsid w:val="00506BA0"/>
    <w:rsid w:val="00512252"/>
    <w:rsid w:val="00514D2D"/>
    <w:rsid w:val="00516D00"/>
    <w:rsid w:val="00521F4D"/>
    <w:rsid w:val="00521F70"/>
    <w:rsid w:val="00524D08"/>
    <w:rsid w:val="0053066E"/>
    <w:rsid w:val="00530D02"/>
    <w:rsid w:val="00532F03"/>
    <w:rsid w:val="00533850"/>
    <w:rsid w:val="00537B19"/>
    <w:rsid w:val="00537EFA"/>
    <w:rsid w:val="00537FC6"/>
    <w:rsid w:val="0054011B"/>
    <w:rsid w:val="00540FF2"/>
    <w:rsid w:val="005509EB"/>
    <w:rsid w:val="00553B67"/>
    <w:rsid w:val="00554E87"/>
    <w:rsid w:val="005554A6"/>
    <w:rsid w:val="005559BF"/>
    <w:rsid w:val="00560924"/>
    <w:rsid w:val="00561B38"/>
    <w:rsid w:val="00561EAB"/>
    <w:rsid w:val="00563894"/>
    <w:rsid w:val="005640A4"/>
    <w:rsid w:val="00564AEF"/>
    <w:rsid w:val="00564EFE"/>
    <w:rsid w:val="00565DC7"/>
    <w:rsid w:val="00566616"/>
    <w:rsid w:val="005669BD"/>
    <w:rsid w:val="00566DA7"/>
    <w:rsid w:val="005714ED"/>
    <w:rsid w:val="00571D27"/>
    <w:rsid w:val="00572211"/>
    <w:rsid w:val="00574418"/>
    <w:rsid w:val="00574445"/>
    <w:rsid w:val="00576CF8"/>
    <w:rsid w:val="005772DF"/>
    <w:rsid w:val="0058201E"/>
    <w:rsid w:val="005825EB"/>
    <w:rsid w:val="00582DE4"/>
    <w:rsid w:val="00584793"/>
    <w:rsid w:val="00585364"/>
    <w:rsid w:val="005859CE"/>
    <w:rsid w:val="00586632"/>
    <w:rsid w:val="005901A5"/>
    <w:rsid w:val="00591B26"/>
    <w:rsid w:val="005926E4"/>
    <w:rsid w:val="00593628"/>
    <w:rsid w:val="00593874"/>
    <w:rsid w:val="0059682F"/>
    <w:rsid w:val="005A1B13"/>
    <w:rsid w:val="005A3C03"/>
    <w:rsid w:val="005A71BF"/>
    <w:rsid w:val="005B0B43"/>
    <w:rsid w:val="005B1BCD"/>
    <w:rsid w:val="005B3635"/>
    <w:rsid w:val="005B3C96"/>
    <w:rsid w:val="005B4A50"/>
    <w:rsid w:val="005B6347"/>
    <w:rsid w:val="005C197D"/>
    <w:rsid w:val="005C33B8"/>
    <w:rsid w:val="005C563D"/>
    <w:rsid w:val="005D03EC"/>
    <w:rsid w:val="005D76A2"/>
    <w:rsid w:val="005D797C"/>
    <w:rsid w:val="005E3284"/>
    <w:rsid w:val="005E33E0"/>
    <w:rsid w:val="005E4B14"/>
    <w:rsid w:val="005F1739"/>
    <w:rsid w:val="005F300F"/>
    <w:rsid w:val="005F316A"/>
    <w:rsid w:val="005F361A"/>
    <w:rsid w:val="005F3F43"/>
    <w:rsid w:val="006115D4"/>
    <w:rsid w:val="00611AC5"/>
    <w:rsid w:val="00612265"/>
    <w:rsid w:val="00612EB7"/>
    <w:rsid w:val="00613946"/>
    <w:rsid w:val="00615758"/>
    <w:rsid w:val="00620D1C"/>
    <w:rsid w:val="0062359F"/>
    <w:rsid w:val="00623AA8"/>
    <w:rsid w:val="00624AEF"/>
    <w:rsid w:val="006261C1"/>
    <w:rsid w:val="00630DB2"/>
    <w:rsid w:val="00632D61"/>
    <w:rsid w:val="006345BC"/>
    <w:rsid w:val="006348DA"/>
    <w:rsid w:val="00634C01"/>
    <w:rsid w:val="00641472"/>
    <w:rsid w:val="00641D81"/>
    <w:rsid w:val="00642640"/>
    <w:rsid w:val="00644BF2"/>
    <w:rsid w:val="00647819"/>
    <w:rsid w:val="00647DBC"/>
    <w:rsid w:val="0065587A"/>
    <w:rsid w:val="00660D90"/>
    <w:rsid w:val="0066271C"/>
    <w:rsid w:val="00663485"/>
    <w:rsid w:val="0066373A"/>
    <w:rsid w:val="00663BDB"/>
    <w:rsid w:val="00664413"/>
    <w:rsid w:val="006656DF"/>
    <w:rsid w:val="0066677D"/>
    <w:rsid w:val="00666E05"/>
    <w:rsid w:val="006676AB"/>
    <w:rsid w:val="006709D6"/>
    <w:rsid w:val="00671D63"/>
    <w:rsid w:val="006733BF"/>
    <w:rsid w:val="006743FB"/>
    <w:rsid w:val="006755BB"/>
    <w:rsid w:val="00676B38"/>
    <w:rsid w:val="00680708"/>
    <w:rsid w:val="00680734"/>
    <w:rsid w:val="00682100"/>
    <w:rsid w:val="006836F8"/>
    <w:rsid w:val="00684A79"/>
    <w:rsid w:val="00684E80"/>
    <w:rsid w:val="00685106"/>
    <w:rsid w:val="00687934"/>
    <w:rsid w:val="006900AA"/>
    <w:rsid w:val="00690BA8"/>
    <w:rsid w:val="00690BEF"/>
    <w:rsid w:val="00691194"/>
    <w:rsid w:val="006914FD"/>
    <w:rsid w:val="00693BA8"/>
    <w:rsid w:val="0069474D"/>
    <w:rsid w:val="0069617E"/>
    <w:rsid w:val="00696413"/>
    <w:rsid w:val="006968B8"/>
    <w:rsid w:val="00696AAA"/>
    <w:rsid w:val="00696BD7"/>
    <w:rsid w:val="006A0990"/>
    <w:rsid w:val="006A3723"/>
    <w:rsid w:val="006A4A9B"/>
    <w:rsid w:val="006A4CEE"/>
    <w:rsid w:val="006A6930"/>
    <w:rsid w:val="006B2196"/>
    <w:rsid w:val="006C52EA"/>
    <w:rsid w:val="006C5575"/>
    <w:rsid w:val="006C5F71"/>
    <w:rsid w:val="006C7BE3"/>
    <w:rsid w:val="006D0331"/>
    <w:rsid w:val="006D2D74"/>
    <w:rsid w:val="006D5326"/>
    <w:rsid w:val="006D5E84"/>
    <w:rsid w:val="006E30F3"/>
    <w:rsid w:val="006E49AE"/>
    <w:rsid w:val="006F0DD0"/>
    <w:rsid w:val="006F2C01"/>
    <w:rsid w:val="006F43FB"/>
    <w:rsid w:val="006F48CE"/>
    <w:rsid w:val="00700D0A"/>
    <w:rsid w:val="007014E3"/>
    <w:rsid w:val="00703D10"/>
    <w:rsid w:val="007101D5"/>
    <w:rsid w:val="00710A75"/>
    <w:rsid w:val="00710E80"/>
    <w:rsid w:val="00712AD6"/>
    <w:rsid w:val="007145C4"/>
    <w:rsid w:val="00714EED"/>
    <w:rsid w:val="00716CA8"/>
    <w:rsid w:val="00716EAC"/>
    <w:rsid w:val="0071766B"/>
    <w:rsid w:val="00717D7D"/>
    <w:rsid w:val="007203CF"/>
    <w:rsid w:val="007219C2"/>
    <w:rsid w:val="00722C06"/>
    <w:rsid w:val="00722D01"/>
    <w:rsid w:val="00723B96"/>
    <w:rsid w:val="007323C5"/>
    <w:rsid w:val="007351C4"/>
    <w:rsid w:val="00740DE0"/>
    <w:rsid w:val="00743F01"/>
    <w:rsid w:val="0074743A"/>
    <w:rsid w:val="007477C3"/>
    <w:rsid w:val="00750DC5"/>
    <w:rsid w:val="00751951"/>
    <w:rsid w:val="0075209C"/>
    <w:rsid w:val="00752529"/>
    <w:rsid w:val="007539E8"/>
    <w:rsid w:val="00755DCC"/>
    <w:rsid w:val="00757303"/>
    <w:rsid w:val="0076139D"/>
    <w:rsid w:val="00762069"/>
    <w:rsid w:val="0076500A"/>
    <w:rsid w:val="00767AA7"/>
    <w:rsid w:val="00772409"/>
    <w:rsid w:val="00772606"/>
    <w:rsid w:val="00773598"/>
    <w:rsid w:val="00773D3A"/>
    <w:rsid w:val="00774C61"/>
    <w:rsid w:val="0077695A"/>
    <w:rsid w:val="00780C98"/>
    <w:rsid w:val="00782EE8"/>
    <w:rsid w:val="00786AF8"/>
    <w:rsid w:val="00790884"/>
    <w:rsid w:val="007926B6"/>
    <w:rsid w:val="00794873"/>
    <w:rsid w:val="00794E26"/>
    <w:rsid w:val="00797612"/>
    <w:rsid w:val="00797828"/>
    <w:rsid w:val="007A028E"/>
    <w:rsid w:val="007A3993"/>
    <w:rsid w:val="007A4A54"/>
    <w:rsid w:val="007A4EB5"/>
    <w:rsid w:val="007A6E9E"/>
    <w:rsid w:val="007B02B6"/>
    <w:rsid w:val="007B05AE"/>
    <w:rsid w:val="007B0A1D"/>
    <w:rsid w:val="007B1C3F"/>
    <w:rsid w:val="007B1F6D"/>
    <w:rsid w:val="007B508E"/>
    <w:rsid w:val="007B554E"/>
    <w:rsid w:val="007B5889"/>
    <w:rsid w:val="007B6464"/>
    <w:rsid w:val="007C02E5"/>
    <w:rsid w:val="007C0BBB"/>
    <w:rsid w:val="007C2924"/>
    <w:rsid w:val="007C3690"/>
    <w:rsid w:val="007C3ED9"/>
    <w:rsid w:val="007C50F0"/>
    <w:rsid w:val="007C57E9"/>
    <w:rsid w:val="007D1954"/>
    <w:rsid w:val="007D1E63"/>
    <w:rsid w:val="007D373A"/>
    <w:rsid w:val="007D5456"/>
    <w:rsid w:val="007D6070"/>
    <w:rsid w:val="007E0BDB"/>
    <w:rsid w:val="007E0DD9"/>
    <w:rsid w:val="007E1519"/>
    <w:rsid w:val="007E26BB"/>
    <w:rsid w:val="007E3CF6"/>
    <w:rsid w:val="007E462F"/>
    <w:rsid w:val="007E7B61"/>
    <w:rsid w:val="007E7FC7"/>
    <w:rsid w:val="007F2CA0"/>
    <w:rsid w:val="007F327C"/>
    <w:rsid w:val="007F5024"/>
    <w:rsid w:val="007F57B5"/>
    <w:rsid w:val="007F72EF"/>
    <w:rsid w:val="0080299C"/>
    <w:rsid w:val="0080307B"/>
    <w:rsid w:val="00803409"/>
    <w:rsid w:val="00803A4E"/>
    <w:rsid w:val="00803DC0"/>
    <w:rsid w:val="0080636B"/>
    <w:rsid w:val="00806448"/>
    <w:rsid w:val="00806EAE"/>
    <w:rsid w:val="0081147D"/>
    <w:rsid w:val="008120DD"/>
    <w:rsid w:val="00812BFB"/>
    <w:rsid w:val="00812E46"/>
    <w:rsid w:val="00813EA7"/>
    <w:rsid w:val="008149BE"/>
    <w:rsid w:val="00815732"/>
    <w:rsid w:val="00816633"/>
    <w:rsid w:val="008169C6"/>
    <w:rsid w:val="0081721C"/>
    <w:rsid w:val="00820619"/>
    <w:rsid w:val="00820A77"/>
    <w:rsid w:val="0082273D"/>
    <w:rsid w:val="00822E0F"/>
    <w:rsid w:val="00833406"/>
    <w:rsid w:val="0083349B"/>
    <w:rsid w:val="008338EE"/>
    <w:rsid w:val="00836547"/>
    <w:rsid w:val="00836CCF"/>
    <w:rsid w:val="00840A76"/>
    <w:rsid w:val="0084131F"/>
    <w:rsid w:val="00842E96"/>
    <w:rsid w:val="0084448C"/>
    <w:rsid w:val="0084505A"/>
    <w:rsid w:val="008455D5"/>
    <w:rsid w:val="00850060"/>
    <w:rsid w:val="0085043D"/>
    <w:rsid w:val="00850BC6"/>
    <w:rsid w:val="0085142B"/>
    <w:rsid w:val="00853D95"/>
    <w:rsid w:val="00856E4E"/>
    <w:rsid w:val="00861878"/>
    <w:rsid w:val="00862036"/>
    <w:rsid w:val="008623EE"/>
    <w:rsid w:val="00862CC1"/>
    <w:rsid w:val="0086341C"/>
    <w:rsid w:val="008638B8"/>
    <w:rsid w:val="00866B4E"/>
    <w:rsid w:val="008670B3"/>
    <w:rsid w:val="008710D0"/>
    <w:rsid w:val="0087389D"/>
    <w:rsid w:val="00874113"/>
    <w:rsid w:val="008742AE"/>
    <w:rsid w:val="008749F1"/>
    <w:rsid w:val="00875412"/>
    <w:rsid w:val="008759F6"/>
    <w:rsid w:val="008764EF"/>
    <w:rsid w:val="0087711E"/>
    <w:rsid w:val="008776DA"/>
    <w:rsid w:val="00877F56"/>
    <w:rsid w:val="00880996"/>
    <w:rsid w:val="008849F2"/>
    <w:rsid w:val="00885201"/>
    <w:rsid w:val="0088720A"/>
    <w:rsid w:val="0088774F"/>
    <w:rsid w:val="0089022C"/>
    <w:rsid w:val="00892136"/>
    <w:rsid w:val="008936B5"/>
    <w:rsid w:val="008952EC"/>
    <w:rsid w:val="00895E40"/>
    <w:rsid w:val="00896E4D"/>
    <w:rsid w:val="00897D68"/>
    <w:rsid w:val="00897DDA"/>
    <w:rsid w:val="008A0542"/>
    <w:rsid w:val="008A0EA3"/>
    <w:rsid w:val="008A22A1"/>
    <w:rsid w:val="008A3513"/>
    <w:rsid w:val="008A46D3"/>
    <w:rsid w:val="008A6983"/>
    <w:rsid w:val="008B266C"/>
    <w:rsid w:val="008B26CE"/>
    <w:rsid w:val="008B28C8"/>
    <w:rsid w:val="008B526D"/>
    <w:rsid w:val="008B5C19"/>
    <w:rsid w:val="008C06C4"/>
    <w:rsid w:val="008C0B09"/>
    <w:rsid w:val="008C38D5"/>
    <w:rsid w:val="008D04FD"/>
    <w:rsid w:val="008D0EBF"/>
    <w:rsid w:val="008D14AF"/>
    <w:rsid w:val="008D1AD9"/>
    <w:rsid w:val="008D470D"/>
    <w:rsid w:val="008D53BD"/>
    <w:rsid w:val="008D5FDC"/>
    <w:rsid w:val="008D634F"/>
    <w:rsid w:val="008D6D87"/>
    <w:rsid w:val="008D79C0"/>
    <w:rsid w:val="008E3988"/>
    <w:rsid w:val="008E49DB"/>
    <w:rsid w:val="008E4CBC"/>
    <w:rsid w:val="008E7C43"/>
    <w:rsid w:val="008F2D4A"/>
    <w:rsid w:val="008F3AC9"/>
    <w:rsid w:val="008F4AC6"/>
    <w:rsid w:val="009016FA"/>
    <w:rsid w:val="00902032"/>
    <w:rsid w:val="00903E41"/>
    <w:rsid w:val="009047EE"/>
    <w:rsid w:val="009055F3"/>
    <w:rsid w:val="009105B7"/>
    <w:rsid w:val="00910811"/>
    <w:rsid w:val="00911066"/>
    <w:rsid w:val="00913514"/>
    <w:rsid w:val="00913541"/>
    <w:rsid w:val="009141FC"/>
    <w:rsid w:val="00916996"/>
    <w:rsid w:val="00917294"/>
    <w:rsid w:val="009205E3"/>
    <w:rsid w:val="00921E38"/>
    <w:rsid w:val="009236D9"/>
    <w:rsid w:val="00923C4E"/>
    <w:rsid w:val="00924446"/>
    <w:rsid w:val="009259FF"/>
    <w:rsid w:val="00925B0B"/>
    <w:rsid w:val="00927885"/>
    <w:rsid w:val="009345A0"/>
    <w:rsid w:val="009364FE"/>
    <w:rsid w:val="009366F8"/>
    <w:rsid w:val="009408A2"/>
    <w:rsid w:val="00943F1B"/>
    <w:rsid w:val="009467ED"/>
    <w:rsid w:val="00950DE3"/>
    <w:rsid w:val="0095196B"/>
    <w:rsid w:val="00952EF6"/>
    <w:rsid w:val="00953577"/>
    <w:rsid w:val="00953AA1"/>
    <w:rsid w:val="00954022"/>
    <w:rsid w:val="009618E1"/>
    <w:rsid w:val="00962513"/>
    <w:rsid w:val="0096497E"/>
    <w:rsid w:val="00964BA1"/>
    <w:rsid w:val="00965011"/>
    <w:rsid w:val="00965B6E"/>
    <w:rsid w:val="00970424"/>
    <w:rsid w:val="009710E4"/>
    <w:rsid w:val="00971119"/>
    <w:rsid w:val="00971785"/>
    <w:rsid w:val="00980DD3"/>
    <w:rsid w:val="00981B79"/>
    <w:rsid w:val="009858B0"/>
    <w:rsid w:val="00986495"/>
    <w:rsid w:val="00987CBA"/>
    <w:rsid w:val="0099107B"/>
    <w:rsid w:val="00991802"/>
    <w:rsid w:val="00992637"/>
    <w:rsid w:val="00992FDD"/>
    <w:rsid w:val="0099368C"/>
    <w:rsid w:val="0099484F"/>
    <w:rsid w:val="00995772"/>
    <w:rsid w:val="009A2E9F"/>
    <w:rsid w:val="009A4807"/>
    <w:rsid w:val="009A5314"/>
    <w:rsid w:val="009A76A9"/>
    <w:rsid w:val="009B0F6A"/>
    <w:rsid w:val="009B2308"/>
    <w:rsid w:val="009B463C"/>
    <w:rsid w:val="009B47F7"/>
    <w:rsid w:val="009B5382"/>
    <w:rsid w:val="009B543D"/>
    <w:rsid w:val="009B6362"/>
    <w:rsid w:val="009B6734"/>
    <w:rsid w:val="009B7FFD"/>
    <w:rsid w:val="009C12FD"/>
    <w:rsid w:val="009C19BB"/>
    <w:rsid w:val="009C3ECB"/>
    <w:rsid w:val="009C4958"/>
    <w:rsid w:val="009C4A50"/>
    <w:rsid w:val="009C4A98"/>
    <w:rsid w:val="009C4F07"/>
    <w:rsid w:val="009C5452"/>
    <w:rsid w:val="009C6AB4"/>
    <w:rsid w:val="009C7D0B"/>
    <w:rsid w:val="009D20F7"/>
    <w:rsid w:val="009D5B2E"/>
    <w:rsid w:val="009D6531"/>
    <w:rsid w:val="009D6F3A"/>
    <w:rsid w:val="009D7588"/>
    <w:rsid w:val="009E0F3D"/>
    <w:rsid w:val="009E0FD9"/>
    <w:rsid w:val="009E1075"/>
    <w:rsid w:val="009E56EF"/>
    <w:rsid w:val="009F3244"/>
    <w:rsid w:val="009F6C8A"/>
    <w:rsid w:val="009F70A4"/>
    <w:rsid w:val="00A01BED"/>
    <w:rsid w:val="00A02014"/>
    <w:rsid w:val="00A029B0"/>
    <w:rsid w:val="00A02C36"/>
    <w:rsid w:val="00A034EE"/>
    <w:rsid w:val="00A05FAB"/>
    <w:rsid w:val="00A1113A"/>
    <w:rsid w:val="00A113C8"/>
    <w:rsid w:val="00A116AE"/>
    <w:rsid w:val="00A124B2"/>
    <w:rsid w:val="00A12713"/>
    <w:rsid w:val="00A12732"/>
    <w:rsid w:val="00A13F7E"/>
    <w:rsid w:val="00A22362"/>
    <w:rsid w:val="00A24813"/>
    <w:rsid w:val="00A279E5"/>
    <w:rsid w:val="00A27E83"/>
    <w:rsid w:val="00A3036F"/>
    <w:rsid w:val="00A32F07"/>
    <w:rsid w:val="00A33093"/>
    <w:rsid w:val="00A40BC3"/>
    <w:rsid w:val="00A419A8"/>
    <w:rsid w:val="00A427A9"/>
    <w:rsid w:val="00A42E4A"/>
    <w:rsid w:val="00A44637"/>
    <w:rsid w:val="00A447A0"/>
    <w:rsid w:val="00A46447"/>
    <w:rsid w:val="00A504FA"/>
    <w:rsid w:val="00A50AFE"/>
    <w:rsid w:val="00A50E4D"/>
    <w:rsid w:val="00A52E99"/>
    <w:rsid w:val="00A5633B"/>
    <w:rsid w:val="00A56C8E"/>
    <w:rsid w:val="00A63442"/>
    <w:rsid w:val="00A67DF6"/>
    <w:rsid w:val="00A67F24"/>
    <w:rsid w:val="00A71EAF"/>
    <w:rsid w:val="00A726DF"/>
    <w:rsid w:val="00A72903"/>
    <w:rsid w:val="00A77614"/>
    <w:rsid w:val="00A80788"/>
    <w:rsid w:val="00A85A0B"/>
    <w:rsid w:val="00A9323D"/>
    <w:rsid w:val="00A960DE"/>
    <w:rsid w:val="00A97CF9"/>
    <w:rsid w:val="00AA0376"/>
    <w:rsid w:val="00AA43A6"/>
    <w:rsid w:val="00AA6D2F"/>
    <w:rsid w:val="00AA7624"/>
    <w:rsid w:val="00AA77BC"/>
    <w:rsid w:val="00AB322A"/>
    <w:rsid w:val="00AB3BDB"/>
    <w:rsid w:val="00AB3E33"/>
    <w:rsid w:val="00AB6D42"/>
    <w:rsid w:val="00AB7FF6"/>
    <w:rsid w:val="00AC0635"/>
    <w:rsid w:val="00AC6788"/>
    <w:rsid w:val="00AC79C5"/>
    <w:rsid w:val="00AD18E9"/>
    <w:rsid w:val="00AD4F50"/>
    <w:rsid w:val="00AD54BA"/>
    <w:rsid w:val="00AE034D"/>
    <w:rsid w:val="00AE1CF1"/>
    <w:rsid w:val="00AE302F"/>
    <w:rsid w:val="00AE31B6"/>
    <w:rsid w:val="00AE46D8"/>
    <w:rsid w:val="00AE48D2"/>
    <w:rsid w:val="00AE48FC"/>
    <w:rsid w:val="00AE5EDC"/>
    <w:rsid w:val="00AE616B"/>
    <w:rsid w:val="00AF0548"/>
    <w:rsid w:val="00AF57B0"/>
    <w:rsid w:val="00AF5F78"/>
    <w:rsid w:val="00AF69D2"/>
    <w:rsid w:val="00AF6D34"/>
    <w:rsid w:val="00B00D74"/>
    <w:rsid w:val="00B01AF0"/>
    <w:rsid w:val="00B01C57"/>
    <w:rsid w:val="00B03B85"/>
    <w:rsid w:val="00B040D3"/>
    <w:rsid w:val="00B0475A"/>
    <w:rsid w:val="00B05C2B"/>
    <w:rsid w:val="00B0714C"/>
    <w:rsid w:val="00B11556"/>
    <w:rsid w:val="00B1296F"/>
    <w:rsid w:val="00B12EF2"/>
    <w:rsid w:val="00B13D8E"/>
    <w:rsid w:val="00B156AF"/>
    <w:rsid w:val="00B1634D"/>
    <w:rsid w:val="00B16682"/>
    <w:rsid w:val="00B16F7C"/>
    <w:rsid w:val="00B17269"/>
    <w:rsid w:val="00B20240"/>
    <w:rsid w:val="00B203CB"/>
    <w:rsid w:val="00B204EB"/>
    <w:rsid w:val="00B25F14"/>
    <w:rsid w:val="00B2680E"/>
    <w:rsid w:val="00B26C87"/>
    <w:rsid w:val="00B301B6"/>
    <w:rsid w:val="00B30565"/>
    <w:rsid w:val="00B30C6E"/>
    <w:rsid w:val="00B3225A"/>
    <w:rsid w:val="00B3386E"/>
    <w:rsid w:val="00B36576"/>
    <w:rsid w:val="00B40EE6"/>
    <w:rsid w:val="00B4173C"/>
    <w:rsid w:val="00B42F7B"/>
    <w:rsid w:val="00B544B0"/>
    <w:rsid w:val="00B56B9D"/>
    <w:rsid w:val="00B604D5"/>
    <w:rsid w:val="00B63257"/>
    <w:rsid w:val="00B64152"/>
    <w:rsid w:val="00B7239F"/>
    <w:rsid w:val="00B72790"/>
    <w:rsid w:val="00B736B7"/>
    <w:rsid w:val="00B7370A"/>
    <w:rsid w:val="00B74172"/>
    <w:rsid w:val="00B803DD"/>
    <w:rsid w:val="00B822E1"/>
    <w:rsid w:val="00B825EA"/>
    <w:rsid w:val="00B83948"/>
    <w:rsid w:val="00B851EB"/>
    <w:rsid w:val="00B85E82"/>
    <w:rsid w:val="00B872D4"/>
    <w:rsid w:val="00B87320"/>
    <w:rsid w:val="00B91552"/>
    <w:rsid w:val="00B91C6F"/>
    <w:rsid w:val="00B95492"/>
    <w:rsid w:val="00B9724F"/>
    <w:rsid w:val="00BA0BBC"/>
    <w:rsid w:val="00BA17C8"/>
    <w:rsid w:val="00BA22AF"/>
    <w:rsid w:val="00BA246A"/>
    <w:rsid w:val="00BA40B8"/>
    <w:rsid w:val="00BB2469"/>
    <w:rsid w:val="00BB3251"/>
    <w:rsid w:val="00BB34CC"/>
    <w:rsid w:val="00BB3C21"/>
    <w:rsid w:val="00BC11EE"/>
    <w:rsid w:val="00BC4D67"/>
    <w:rsid w:val="00BC72B4"/>
    <w:rsid w:val="00BD49D5"/>
    <w:rsid w:val="00BD748A"/>
    <w:rsid w:val="00BE0D29"/>
    <w:rsid w:val="00BE0D69"/>
    <w:rsid w:val="00BE1ABD"/>
    <w:rsid w:val="00BE22D5"/>
    <w:rsid w:val="00BE3394"/>
    <w:rsid w:val="00BE5125"/>
    <w:rsid w:val="00BE54ED"/>
    <w:rsid w:val="00BF016A"/>
    <w:rsid w:val="00BF3E8B"/>
    <w:rsid w:val="00BF4078"/>
    <w:rsid w:val="00BF4AB6"/>
    <w:rsid w:val="00BF778C"/>
    <w:rsid w:val="00BF79CD"/>
    <w:rsid w:val="00C008B3"/>
    <w:rsid w:val="00C032EF"/>
    <w:rsid w:val="00C04055"/>
    <w:rsid w:val="00C04313"/>
    <w:rsid w:val="00C0523C"/>
    <w:rsid w:val="00C117EE"/>
    <w:rsid w:val="00C13E70"/>
    <w:rsid w:val="00C143F1"/>
    <w:rsid w:val="00C20388"/>
    <w:rsid w:val="00C21433"/>
    <w:rsid w:val="00C219B1"/>
    <w:rsid w:val="00C228A1"/>
    <w:rsid w:val="00C2294C"/>
    <w:rsid w:val="00C24D14"/>
    <w:rsid w:val="00C277F0"/>
    <w:rsid w:val="00C2781D"/>
    <w:rsid w:val="00C30552"/>
    <w:rsid w:val="00C313C4"/>
    <w:rsid w:val="00C320CC"/>
    <w:rsid w:val="00C32415"/>
    <w:rsid w:val="00C34ADD"/>
    <w:rsid w:val="00C34D45"/>
    <w:rsid w:val="00C35543"/>
    <w:rsid w:val="00C43280"/>
    <w:rsid w:val="00C443B2"/>
    <w:rsid w:val="00C46F93"/>
    <w:rsid w:val="00C51AC9"/>
    <w:rsid w:val="00C5255D"/>
    <w:rsid w:val="00C553C9"/>
    <w:rsid w:val="00C55713"/>
    <w:rsid w:val="00C5794D"/>
    <w:rsid w:val="00C61EDB"/>
    <w:rsid w:val="00C63569"/>
    <w:rsid w:val="00C644C4"/>
    <w:rsid w:val="00C67937"/>
    <w:rsid w:val="00C71F03"/>
    <w:rsid w:val="00C72EB3"/>
    <w:rsid w:val="00C7309A"/>
    <w:rsid w:val="00C744D2"/>
    <w:rsid w:val="00C76F94"/>
    <w:rsid w:val="00C772FB"/>
    <w:rsid w:val="00C77333"/>
    <w:rsid w:val="00C85BA7"/>
    <w:rsid w:val="00C86C55"/>
    <w:rsid w:val="00C878C0"/>
    <w:rsid w:val="00C90CE6"/>
    <w:rsid w:val="00CA11C7"/>
    <w:rsid w:val="00CA1582"/>
    <w:rsid w:val="00CA1F36"/>
    <w:rsid w:val="00CA428B"/>
    <w:rsid w:val="00CA43A0"/>
    <w:rsid w:val="00CA4D72"/>
    <w:rsid w:val="00CA79D6"/>
    <w:rsid w:val="00CB09B6"/>
    <w:rsid w:val="00CB355A"/>
    <w:rsid w:val="00CB3731"/>
    <w:rsid w:val="00CB5373"/>
    <w:rsid w:val="00CB6D37"/>
    <w:rsid w:val="00CC0B89"/>
    <w:rsid w:val="00CC0ED8"/>
    <w:rsid w:val="00CC3D3C"/>
    <w:rsid w:val="00CC4057"/>
    <w:rsid w:val="00CC5AB8"/>
    <w:rsid w:val="00CD36D4"/>
    <w:rsid w:val="00CD7CB6"/>
    <w:rsid w:val="00CE051B"/>
    <w:rsid w:val="00CE4E6B"/>
    <w:rsid w:val="00CE54D3"/>
    <w:rsid w:val="00CE5F2F"/>
    <w:rsid w:val="00CE6D54"/>
    <w:rsid w:val="00CF14F6"/>
    <w:rsid w:val="00CF2822"/>
    <w:rsid w:val="00CF3097"/>
    <w:rsid w:val="00CF363A"/>
    <w:rsid w:val="00CF3D66"/>
    <w:rsid w:val="00CF61CD"/>
    <w:rsid w:val="00D0079F"/>
    <w:rsid w:val="00D014A6"/>
    <w:rsid w:val="00D02207"/>
    <w:rsid w:val="00D03498"/>
    <w:rsid w:val="00D04752"/>
    <w:rsid w:val="00D10F89"/>
    <w:rsid w:val="00D16F4C"/>
    <w:rsid w:val="00D227E7"/>
    <w:rsid w:val="00D22F23"/>
    <w:rsid w:val="00D25BDE"/>
    <w:rsid w:val="00D2604F"/>
    <w:rsid w:val="00D26AF8"/>
    <w:rsid w:val="00D26C07"/>
    <w:rsid w:val="00D27771"/>
    <w:rsid w:val="00D302B1"/>
    <w:rsid w:val="00D30A95"/>
    <w:rsid w:val="00D31359"/>
    <w:rsid w:val="00D319F3"/>
    <w:rsid w:val="00D31F8E"/>
    <w:rsid w:val="00D32FCE"/>
    <w:rsid w:val="00D35FD4"/>
    <w:rsid w:val="00D42D22"/>
    <w:rsid w:val="00D43802"/>
    <w:rsid w:val="00D44A1B"/>
    <w:rsid w:val="00D4521B"/>
    <w:rsid w:val="00D468AB"/>
    <w:rsid w:val="00D478E7"/>
    <w:rsid w:val="00D502B7"/>
    <w:rsid w:val="00D503A0"/>
    <w:rsid w:val="00D5230E"/>
    <w:rsid w:val="00D544B9"/>
    <w:rsid w:val="00D54995"/>
    <w:rsid w:val="00D56A4E"/>
    <w:rsid w:val="00D57BFC"/>
    <w:rsid w:val="00D60CCB"/>
    <w:rsid w:val="00D616A3"/>
    <w:rsid w:val="00D66C1C"/>
    <w:rsid w:val="00D700B7"/>
    <w:rsid w:val="00D70794"/>
    <w:rsid w:val="00D70A74"/>
    <w:rsid w:val="00D731E0"/>
    <w:rsid w:val="00D76B9E"/>
    <w:rsid w:val="00D7733B"/>
    <w:rsid w:val="00D80647"/>
    <w:rsid w:val="00D80D40"/>
    <w:rsid w:val="00D80FED"/>
    <w:rsid w:val="00D812CC"/>
    <w:rsid w:val="00D82538"/>
    <w:rsid w:val="00D852F2"/>
    <w:rsid w:val="00D8535A"/>
    <w:rsid w:val="00D853FA"/>
    <w:rsid w:val="00D87C98"/>
    <w:rsid w:val="00D91C4E"/>
    <w:rsid w:val="00D966F7"/>
    <w:rsid w:val="00D97923"/>
    <w:rsid w:val="00DA11C0"/>
    <w:rsid w:val="00DA3873"/>
    <w:rsid w:val="00DA5AC1"/>
    <w:rsid w:val="00DA69FC"/>
    <w:rsid w:val="00DA7027"/>
    <w:rsid w:val="00DA7952"/>
    <w:rsid w:val="00DB03C9"/>
    <w:rsid w:val="00DB125B"/>
    <w:rsid w:val="00DB4451"/>
    <w:rsid w:val="00DB470B"/>
    <w:rsid w:val="00DB6C9D"/>
    <w:rsid w:val="00DB7BB7"/>
    <w:rsid w:val="00DC23BA"/>
    <w:rsid w:val="00DC27C1"/>
    <w:rsid w:val="00DC34E9"/>
    <w:rsid w:val="00DC3D4D"/>
    <w:rsid w:val="00DC46C2"/>
    <w:rsid w:val="00DD0FB6"/>
    <w:rsid w:val="00DD3BBF"/>
    <w:rsid w:val="00DD4F75"/>
    <w:rsid w:val="00DD51D0"/>
    <w:rsid w:val="00DE1B2D"/>
    <w:rsid w:val="00DE2235"/>
    <w:rsid w:val="00DE429A"/>
    <w:rsid w:val="00DE4742"/>
    <w:rsid w:val="00DE5992"/>
    <w:rsid w:val="00DF138B"/>
    <w:rsid w:val="00DF4445"/>
    <w:rsid w:val="00DF6363"/>
    <w:rsid w:val="00DF7A5F"/>
    <w:rsid w:val="00E0051A"/>
    <w:rsid w:val="00E00F86"/>
    <w:rsid w:val="00E019CE"/>
    <w:rsid w:val="00E02DFF"/>
    <w:rsid w:val="00E05FCA"/>
    <w:rsid w:val="00E0780D"/>
    <w:rsid w:val="00E1345A"/>
    <w:rsid w:val="00E15D40"/>
    <w:rsid w:val="00E200B7"/>
    <w:rsid w:val="00E22C16"/>
    <w:rsid w:val="00E22CEC"/>
    <w:rsid w:val="00E25186"/>
    <w:rsid w:val="00E254FE"/>
    <w:rsid w:val="00E2628F"/>
    <w:rsid w:val="00E27AC5"/>
    <w:rsid w:val="00E317CA"/>
    <w:rsid w:val="00E31BC3"/>
    <w:rsid w:val="00E36465"/>
    <w:rsid w:val="00E37CAC"/>
    <w:rsid w:val="00E41CA4"/>
    <w:rsid w:val="00E42A13"/>
    <w:rsid w:val="00E5202C"/>
    <w:rsid w:val="00E52ECE"/>
    <w:rsid w:val="00E52EE0"/>
    <w:rsid w:val="00E53637"/>
    <w:rsid w:val="00E55CDF"/>
    <w:rsid w:val="00E6241E"/>
    <w:rsid w:val="00E648D8"/>
    <w:rsid w:val="00E66202"/>
    <w:rsid w:val="00E67F78"/>
    <w:rsid w:val="00E71747"/>
    <w:rsid w:val="00E73A3C"/>
    <w:rsid w:val="00E760D6"/>
    <w:rsid w:val="00E76474"/>
    <w:rsid w:val="00E77419"/>
    <w:rsid w:val="00E777F8"/>
    <w:rsid w:val="00E80184"/>
    <w:rsid w:val="00E802EC"/>
    <w:rsid w:val="00E80E0D"/>
    <w:rsid w:val="00E81769"/>
    <w:rsid w:val="00E8224A"/>
    <w:rsid w:val="00E83E65"/>
    <w:rsid w:val="00E86305"/>
    <w:rsid w:val="00E864E0"/>
    <w:rsid w:val="00E91402"/>
    <w:rsid w:val="00E9410A"/>
    <w:rsid w:val="00E94D25"/>
    <w:rsid w:val="00E96CA6"/>
    <w:rsid w:val="00EA0EEA"/>
    <w:rsid w:val="00EA250B"/>
    <w:rsid w:val="00EA2996"/>
    <w:rsid w:val="00EA5D99"/>
    <w:rsid w:val="00EA77F4"/>
    <w:rsid w:val="00EB00C4"/>
    <w:rsid w:val="00EB0858"/>
    <w:rsid w:val="00EB173E"/>
    <w:rsid w:val="00EB3801"/>
    <w:rsid w:val="00EB4128"/>
    <w:rsid w:val="00EB47E4"/>
    <w:rsid w:val="00EB59BE"/>
    <w:rsid w:val="00EB5D0A"/>
    <w:rsid w:val="00EC3449"/>
    <w:rsid w:val="00EC4285"/>
    <w:rsid w:val="00EC42BB"/>
    <w:rsid w:val="00EC5B34"/>
    <w:rsid w:val="00EC6E18"/>
    <w:rsid w:val="00EC7A51"/>
    <w:rsid w:val="00ED591E"/>
    <w:rsid w:val="00EE0E5E"/>
    <w:rsid w:val="00EE12F1"/>
    <w:rsid w:val="00EE28C4"/>
    <w:rsid w:val="00EE3D2A"/>
    <w:rsid w:val="00EF0347"/>
    <w:rsid w:val="00EF41D5"/>
    <w:rsid w:val="00EF7D9D"/>
    <w:rsid w:val="00F02041"/>
    <w:rsid w:val="00F03F00"/>
    <w:rsid w:val="00F078AF"/>
    <w:rsid w:val="00F079C7"/>
    <w:rsid w:val="00F10305"/>
    <w:rsid w:val="00F147E4"/>
    <w:rsid w:val="00F1587D"/>
    <w:rsid w:val="00F169A7"/>
    <w:rsid w:val="00F16D00"/>
    <w:rsid w:val="00F2053E"/>
    <w:rsid w:val="00F2069F"/>
    <w:rsid w:val="00F23A72"/>
    <w:rsid w:val="00F23E34"/>
    <w:rsid w:val="00F2721F"/>
    <w:rsid w:val="00F30BA2"/>
    <w:rsid w:val="00F31550"/>
    <w:rsid w:val="00F43703"/>
    <w:rsid w:val="00F45013"/>
    <w:rsid w:val="00F451C8"/>
    <w:rsid w:val="00F45524"/>
    <w:rsid w:val="00F47D45"/>
    <w:rsid w:val="00F512DA"/>
    <w:rsid w:val="00F5689C"/>
    <w:rsid w:val="00F613B0"/>
    <w:rsid w:val="00F64F21"/>
    <w:rsid w:val="00F67A3B"/>
    <w:rsid w:val="00F7072A"/>
    <w:rsid w:val="00F755A0"/>
    <w:rsid w:val="00F75603"/>
    <w:rsid w:val="00F777C0"/>
    <w:rsid w:val="00F8063A"/>
    <w:rsid w:val="00F820B0"/>
    <w:rsid w:val="00F82DD1"/>
    <w:rsid w:val="00F83BF7"/>
    <w:rsid w:val="00F83F3E"/>
    <w:rsid w:val="00F85763"/>
    <w:rsid w:val="00F86960"/>
    <w:rsid w:val="00F87A44"/>
    <w:rsid w:val="00F91DAB"/>
    <w:rsid w:val="00F938FA"/>
    <w:rsid w:val="00F95178"/>
    <w:rsid w:val="00F95FC9"/>
    <w:rsid w:val="00F96E01"/>
    <w:rsid w:val="00FA2788"/>
    <w:rsid w:val="00FA2F7B"/>
    <w:rsid w:val="00FA4AEB"/>
    <w:rsid w:val="00FB1D6C"/>
    <w:rsid w:val="00FB29D6"/>
    <w:rsid w:val="00FB3C20"/>
    <w:rsid w:val="00FB7683"/>
    <w:rsid w:val="00FB7A58"/>
    <w:rsid w:val="00FC04AC"/>
    <w:rsid w:val="00FC29AA"/>
    <w:rsid w:val="00FC38A6"/>
    <w:rsid w:val="00FC4216"/>
    <w:rsid w:val="00FC4342"/>
    <w:rsid w:val="00FC4D8E"/>
    <w:rsid w:val="00FC7526"/>
    <w:rsid w:val="00FC769C"/>
    <w:rsid w:val="00FD0008"/>
    <w:rsid w:val="00FD5A1E"/>
    <w:rsid w:val="00FE1FE8"/>
    <w:rsid w:val="00FE2C91"/>
    <w:rsid w:val="00FE4525"/>
    <w:rsid w:val="00FE64C8"/>
    <w:rsid w:val="00FE6B92"/>
    <w:rsid w:val="00FF099C"/>
    <w:rsid w:val="00FF4577"/>
    <w:rsid w:val="00FF4E79"/>
    <w:rsid w:val="01553DC9"/>
    <w:rsid w:val="01A10493"/>
    <w:rsid w:val="02801AAE"/>
    <w:rsid w:val="02D52B6C"/>
    <w:rsid w:val="0382DC88"/>
    <w:rsid w:val="04805929"/>
    <w:rsid w:val="0493A5AF"/>
    <w:rsid w:val="054F63BF"/>
    <w:rsid w:val="06BD6558"/>
    <w:rsid w:val="079DF435"/>
    <w:rsid w:val="08101DDE"/>
    <w:rsid w:val="094F7CAC"/>
    <w:rsid w:val="095075C0"/>
    <w:rsid w:val="097B79FC"/>
    <w:rsid w:val="09CB72C4"/>
    <w:rsid w:val="0AB1792B"/>
    <w:rsid w:val="0B8CD0F4"/>
    <w:rsid w:val="0B95B41E"/>
    <w:rsid w:val="0C33BC46"/>
    <w:rsid w:val="0DD7F00E"/>
    <w:rsid w:val="0E27442F"/>
    <w:rsid w:val="0F946A0E"/>
    <w:rsid w:val="0FEBCB85"/>
    <w:rsid w:val="108B7A83"/>
    <w:rsid w:val="10DE4BD8"/>
    <w:rsid w:val="11B70024"/>
    <w:rsid w:val="1245A3F4"/>
    <w:rsid w:val="12707EB8"/>
    <w:rsid w:val="133D1860"/>
    <w:rsid w:val="13B7E03D"/>
    <w:rsid w:val="1457F016"/>
    <w:rsid w:val="17324CDF"/>
    <w:rsid w:val="175AA677"/>
    <w:rsid w:val="17A40CD1"/>
    <w:rsid w:val="180EF34E"/>
    <w:rsid w:val="18A918F6"/>
    <w:rsid w:val="1941E71F"/>
    <w:rsid w:val="1A1F152E"/>
    <w:rsid w:val="1ABDB60A"/>
    <w:rsid w:val="1ACDDB57"/>
    <w:rsid w:val="1BA1D2A2"/>
    <w:rsid w:val="1BB26EA1"/>
    <w:rsid w:val="1D50092B"/>
    <w:rsid w:val="1D77853E"/>
    <w:rsid w:val="1E0EBD77"/>
    <w:rsid w:val="1F3D5EC4"/>
    <w:rsid w:val="1F97B7AE"/>
    <w:rsid w:val="1FC7FFEC"/>
    <w:rsid w:val="2029D763"/>
    <w:rsid w:val="208D4F1F"/>
    <w:rsid w:val="210F07B5"/>
    <w:rsid w:val="21C464EC"/>
    <w:rsid w:val="22330C05"/>
    <w:rsid w:val="22DD5214"/>
    <w:rsid w:val="22EBAEBC"/>
    <w:rsid w:val="2318306E"/>
    <w:rsid w:val="2368F44F"/>
    <w:rsid w:val="23BB49E4"/>
    <w:rsid w:val="2408B08B"/>
    <w:rsid w:val="242ED5FF"/>
    <w:rsid w:val="24A00BF3"/>
    <w:rsid w:val="25766A91"/>
    <w:rsid w:val="25D0969A"/>
    <w:rsid w:val="264C8E5A"/>
    <w:rsid w:val="269AAAA1"/>
    <w:rsid w:val="2745A128"/>
    <w:rsid w:val="27FACF6A"/>
    <w:rsid w:val="280F539A"/>
    <w:rsid w:val="291B459F"/>
    <w:rsid w:val="2983D117"/>
    <w:rsid w:val="29B2DF73"/>
    <w:rsid w:val="2A25928A"/>
    <w:rsid w:val="2A4F9386"/>
    <w:rsid w:val="2A4FF6D7"/>
    <w:rsid w:val="2A5A5444"/>
    <w:rsid w:val="2AD74F0A"/>
    <w:rsid w:val="2BD9BE37"/>
    <w:rsid w:val="2C57F892"/>
    <w:rsid w:val="2C610E0F"/>
    <w:rsid w:val="2C7F39B5"/>
    <w:rsid w:val="2C9C5C9E"/>
    <w:rsid w:val="2CC3BD64"/>
    <w:rsid w:val="2CC9BF33"/>
    <w:rsid w:val="2E039988"/>
    <w:rsid w:val="2E5F8DC5"/>
    <w:rsid w:val="2E88F75A"/>
    <w:rsid w:val="2E924CC3"/>
    <w:rsid w:val="2FE52028"/>
    <w:rsid w:val="301D3C5C"/>
    <w:rsid w:val="30F8A4B9"/>
    <w:rsid w:val="3172FD76"/>
    <w:rsid w:val="33B1CD7A"/>
    <w:rsid w:val="346ABBB0"/>
    <w:rsid w:val="34A12B0C"/>
    <w:rsid w:val="34BF8DF7"/>
    <w:rsid w:val="352A14A2"/>
    <w:rsid w:val="3591812E"/>
    <w:rsid w:val="364C75E7"/>
    <w:rsid w:val="37784516"/>
    <w:rsid w:val="37A80138"/>
    <w:rsid w:val="38E044B3"/>
    <w:rsid w:val="39041A1B"/>
    <w:rsid w:val="39411FE9"/>
    <w:rsid w:val="39C54FE6"/>
    <w:rsid w:val="3ADB890F"/>
    <w:rsid w:val="3D555492"/>
    <w:rsid w:val="3D7444D7"/>
    <w:rsid w:val="3E19576A"/>
    <w:rsid w:val="3EA84CCD"/>
    <w:rsid w:val="3EAF081A"/>
    <w:rsid w:val="3FB99940"/>
    <w:rsid w:val="400CA96E"/>
    <w:rsid w:val="40112D1B"/>
    <w:rsid w:val="406EDADE"/>
    <w:rsid w:val="40C8F0E6"/>
    <w:rsid w:val="4140233D"/>
    <w:rsid w:val="419F5095"/>
    <w:rsid w:val="41E9265D"/>
    <w:rsid w:val="42C37830"/>
    <w:rsid w:val="43C16428"/>
    <w:rsid w:val="45B2268F"/>
    <w:rsid w:val="46097FA2"/>
    <w:rsid w:val="468EFA25"/>
    <w:rsid w:val="46A06856"/>
    <w:rsid w:val="48B53AEA"/>
    <w:rsid w:val="496477EC"/>
    <w:rsid w:val="4984E784"/>
    <w:rsid w:val="498BBBF1"/>
    <w:rsid w:val="49B78655"/>
    <w:rsid w:val="4A29D620"/>
    <w:rsid w:val="4B6934F2"/>
    <w:rsid w:val="4B83ED55"/>
    <w:rsid w:val="4B8EE11B"/>
    <w:rsid w:val="4C918F74"/>
    <w:rsid w:val="4CB1AD69"/>
    <w:rsid w:val="4D57EF9F"/>
    <w:rsid w:val="4D6C8FDE"/>
    <w:rsid w:val="4D78E679"/>
    <w:rsid w:val="4E9DA6BF"/>
    <w:rsid w:val="4F273FD2"/>
    <w:rsid w:val="50775555"/>
    <w:rsid w:val="509E2CB7"/>
    <w:rsid w:val="52A82554"/>
    <w:rsid w:val="55AC7297"/>
    <w:rsid w:val="55FF8BA8"/>
    <w:rsid w:val="5601865D"/>
    <w:rsid w:val="56B09CDD"/>
    <w:rsid w:val="57C9D231"/>
    <w:rsid w:val="59FE568C"/>
    <w:rsid w:val="59FF941D"/>
    <w:rsid w:val="5A0934CF"/>
    <w:rsid w:val="5A74927A"/>
    <w:rsid w:val="5B4D82D9"/>
    <w:rsid w:val="5B5DAC23"/>
    <w:rsid w:val="5D8DA157"/>
    <w:rsid w:val="5DB7847C"/>
    <w:rsid w:val="5EA04B38"/>
    <w:rsid w:val="5EA84409"/>
    <w:rsid w:val="5EFC75DE"/>
    <w:rsid w:val="5F0BF7DC"/>
    <w:rsid w:val="5F32CCD0"/>
    <w:rsid w:val="60CFD038"/>
    <w:rsid w:val="60E71FC2"/>
    <w:rsid w:val="60F6DEFC"/>
    <w:rsid w:val="611C66CB"/>
    <w:rsid w:val="61ED2787"/>
    <w:rsid w:val="6225C843"/>
    <w:rsid w:val="630B840B"/>
    <w:rsid w:val="6349794C"/>
    <w:rsid w:val="634E1C16"/>
    <w:rsid w:val="63D1498D"/>
    <w:rsid w:val="642E9963"/>
    <w:rsid w:val="64935746"/>
    <w:rsid w:val="64A9D10A"/>
    <w:rsid w:val="64FE2EB2"/>
    <w:rsid w:val="64FEBBEB"/>
    <w:rsid w:val="654CD742"/>
    <w:rsid w:val="656D8495"/>
    <w:rsid w:val="65B6B262"/>
    <w:rsid w:val="67B1715A"/>
    <w:rsid w:val="67C92C7D"/>
    <w:rsid w:val="67D00F21"/>
    <w:rsid w:val="683D2C94"/>
    <w:rsid w:val="684A4423"/>
    <w:rsid w:val="68B77959"/>
    <w:rsid w:val="6A04F6DD"/>
    <w:rsid w:val="6A47C703"/>
    <w:rsid w:val="6AE9121C"/>
    <w:rsid w:val="6B222377"/>
    <w:rsid w:val="6BF67804"/>
    <w:rsid w:val="6C41BC8E"/>
    <w:rsid w:val="6C57381C"/>
    <w:rsid w:val="6C6569E4"/>
    <w:rsid w:val="6D156517"/>
    <w:rsid w:val="6D3D3EB8"/>
    <w:rsid w:val="6D430509"/>
    <w:rsid w:val="6DD43893"/>
    <w:rsid w:val="6DE73F54"/>
    <w:rsid w:val="6E4CA14E"/>
    <w:rsid w:val="6EBA87E8"/>
    <w:rsid w:val="6F31D173"/>
    <w:rsid w:val="6F8491B0"/>
    <w:rsid w:val="70002305"/>
    <w:rsid w:val="7027A967"/>
    <w:rsid w:val="705405FC"/>
    <w:rsid w:val="71352D0C"/>
    <w:rsid w:val="723AE7FF"/>
    <w:rsid w:val="72758660"/>
    <w:rsid w:val="728B6CDD"/>
    <w:rsid w:val="72EBDC6C"/>
    <w:rsid w:val="7316921D"/>
    <w:rsid w:val="7379BA0C"/>
    <w:rsid w:val="73FE0D28"/>
    <w:rsid w:val="741D45FC"/>
    <w:rsid w:val="752DCAFF"/>
    <w:rsid w:val="754A1506"/>
    <w:rsid w:val="7605E223"/>
    <w:rsid w:val="767BAC18"/>
    <w:rsid w:val="76C43589"/>
    <w:rsid w:val="79071739"/>
    <w:rsid w:val="7AA8AB8D"/>
    <w:rsid w:val="7AEA7FE2"/>
    <w:rsid w:val="7B5BF78C"/>
    <w:rsid w:val="7D510BA8"/>
    <w:rsid w:val="7D75A0DD"/>
    <w:rsid w:val="7DA939D6"/>
    <w:rsid w:val="7E1BD66F"/>
    <w:rsid w:val="7E3F9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839AB"/>
  <w15:docId w15:val="{A58552D8-B943-496B-B1CA-32EB3967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 Normal"/>
    <w:qFormat/>
    <w:rsid w:val="00A85A0B"/>
    <w:pPr>
      <w:spacing w:before="100" w:after="0"/>
    </w:pPr>
    <w:rPr>
      <w:rFonts w:ascii="Arial" w:hAnsi="Arial"/>
      <w:sz w:val="18"/>
    </w:rPr>
  </w:style>
  <w:style w:type="paragraph" w:styleId="Heading1">
    <w:name w:val="heading 1"/>
    <w:aliases w:val="D. Heading 1"/>
    <w:basedOn w:val="Normal"/>
    <w:next w:val="Normal"/>
    <w:link w:val="Heading1Char"/>
    <w:uiPriority w:val="9"/>
    <w:qFormat/>
    <w:rsid w:val="00273671"/>
    <w:pPr>
      <w:keepNext/>
      <w:keepLines/>
      <w:spacing w:before="200"/>
      <w:outlineLvl w:val="0"/>
    </w:pPr>
    <w:rPr>
      <w:rFonts w:eastAsiaTheme="majorEastAsia" w:cstheme="majorBidi"/>
      <w:bCs/>
      <w:color w:val="EB391C"/>
      <w:sz w:val="32"/>
      <w:szCs w:val="28"/>
    </w:rPr>
  </w:style>
  <w:style w:type="paragraph" w:styleId="Heading2">
    <w:name w:val="heading 2"/>
    <w:aliases w:val="D. Heading 2"/>
    <w:basedOn w:val="Normal"/>
    <w:next w:val="Normal"/>
    <w:link w:val="Heading2Char"/>
    <w:uiPriority w:val="9"/>
    <w:unhideWhenUsed/>
    <w:qFormat/>
    <w:rsid w:val="00273671"/>
    <w:pPr>
      <w:keepNext/>
      <w:keepLines/>
      <w:spacing w:before="200"/>
      <w:outlineLvl w:val="1"/>
    </w:pPr>
    <w:rPr>
      <w:rFonts w:eastAsiaTheme="majorEastAsia" w:cstheme="majorBidi"/>
      <w:bCs/>
      <w:caps/>
      <w:color w:val="000000" w:themeColor="text1"/>
      <w:sz w:val="28"/>
      <w:szCs w:val="26"/>
    </w:rPr>
  </w:style>
  <w:style w:type="paragraph" w:styleId="Heading3">
    <w:name w:val="heading 3"/>
    <w:aliases w:val="D. Heading 3"/>
    <w:basedOn w:val="Normal"/>
    <w:next w:val="Normal"/>
    <w:link w:val="Heading3Char"/>
    <w:uiPriority w:val="9"/>
    <w:unhideWhenUsed/>
    <w:qFormat/>
    <w:rsid w:val="00273671"/>
    <w:pPr>
      <w:keepNext/>
      <w:keepLines/>
      <w:spacing w:before="200"/>
      <w:outlineLvl w:val="2"/>
    </w:pPr>
    <w:rPr>
      <w:rFonts w:eastAsiaTheme="majorEastAsia" w:cstheme="majorBidi"/>
      <w:b/>
      <w:bCs/>
      <w:caps/>
      <w:color w:val="7F7F7F" w:themeColor="text1" w:themeTint="80"/>
      <w:sz w:val="24"/>
    </w:rPr>
  </w:style>
  <w:style w:type="paragraph" w:styleId="Heading4">
    <w:name w:val="heading 4"/>
    <w:aliases w:val="D. Heading 4"/>
    <w:basedOn w:val="Normal"/>
    <w:next w:val="Normal"/>
    <w:link w:val="Heading4Char"/>
    <w:uiPriority w:val="9"/>
    <w:unhideWhenUsed/>
    <w:qFormat/>
    <w:rsid w:val="00273671"/>
    <w:pPr>
      <w:keepNext/>
      <w:keepLines/>
      <w:spacing w:before="200"/>
      <w:outlineLvl w:val="3"/>
    </w:pPr>
    <w:rPr>
      <w:rFonts w:eastAsiaTheme="majorEastAsia" w:cstheme="majorBidi"/>
      <w:b/>
      <w:bCs/>
      <w:i/>
      <w:iCs/>
      <w:color w:val="EB391C"/>
      <w:sz w:val="20"/>
      <w:u w:val="single"/>
    </w:rPr>
  </w:style>
  <w:style w:type="paragraph" w:styleId="Heading5">
    <w:name w:val="heading 5"/>
    <w:aliases w:val="D. Heading 5"/>
    <w:basedOn w:val="Normal"/>
    <w:next w:val="Normal"/>
    <w:link w:val="Heading5Char"/>
    <w:uiPriority w:val="9"/>
    <w:unhideWhenUsed/>
    <w:qFormat/>
    <w:rsid w:val="00295479"/>
    <w:pPr>
      <w:keepNext/>
      <w:keepLines/>
      <w:spacing w:before="20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67"/>
    <w:pPr>
      <w:tabs>
        <w:tab w:val="center" w:pos="4680"/>
        <w:tab w:val="right" w:pos="9360"/>
      </w:tabs>
      <w:spacing w:line="240" w:lineRule="auto"/>
    </w:pPr>
  </w:style>
  <w:style w:type="character" w:customStyle="1" w:styleId="HeaderChar">
    <w:name w:val="Header Char"/>
    <w:basedOn w:val="DefaultParagraphFont"/>
    <w:link w:val="Header"/>
    <w:uiPriority w:val="99"/>
    <w:rsid w:val="00553B67"/>
  </w:style>
  <w:style w:type="paragraph" w:styleId="Footer">
    <w:name w:val="footer"/>
    <w:aliases w:val="p.1 Footer"/>
    <w:basedOn w:val="Normal"/>
    <w:link w:val="FooterChar"/>
    <w:uiPriority w:val="99"/>
    <w:unhideWhenUsed/>
    <w:rsid w:val="00992FDD"/>
    <w:pPr>
      <w:tabs>
        <w:tab w:val="center" w:pos="4680"/>
        <w:tab w:val="right" w:pos="9360"/>
      </w:tabs>
      <w:spacing w:line="240" w:lineRule="auto"/>
    </w:pPr>
    <w:rPr>
      <w:sz w:val="12"/>
    </w:rPr>
  </w:style>
  <w:style w:type="character" w:customStyle="1" w:styleId="FooterChar">
    <w:name w:val="Footer Char"/>
    <w:aliases w:val="p.1 Footer Char"/>
    <w:basedOn w:val="DefaultParagraphFont"/>
    <w:link w:val="Footer"/>
    <w:uiPriority w:val="99"/>
    <w:rsid w:val="00992FDD"/>
    <w:rPr>
      <w:rFonts w:ascii="Arial" w:hAnsi="Arial"/>
      <w:sz w:val="12"/>
    </w:rPr>
  </w:style>
  <w:style w:type="paragraph" w:styleId="BalloonText">
    <w:name w:val="Balloon Text"/>
    <w:basedOn w:val="Normal"/>
    <w:link w:val="BalloonTextChar"/>
    <w:uiPriority w:val="99"/>
    <w:semiHidden/>
    <w:unhideWhenUsed/>
    <w:rsid w:val="00553B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B67"/>
    <w:rPr>
      <w:rFonts w:ascii="Tahoma" w:hAnsi="Tahoma" w:cs="Tahoma"/>
      <w:sz w:val="16"/>
      <w:szCs w:val="16"/>
    </w:rPr>
  </w:style>
  <w:style w:type="character" w:customStyle="1" w:styleId="Heading1Char">
    <w:name w:val="Heading 1 Char"/>
    <w:aliases w:val="D. Heading 1 Char"/>
    <w:basedOn w:val="DefaultParagraphFont"/>
    <w:link w:val="Heading1"/>
    <w:uiPriority w:val="9"/>
    <w:rsid w:val="00273671"/>
    <w:rPr>
      <w:rFonts w:ascii="Arial" w:eastAsiaTheme="majorEastAsia" w:hAnsi="Arial" w:cstheme="majorBidi"/>
      <w:bCs/>
      <w:color w:val="EB391C"/>
      <w:sz w:val="32"/>
      <w:szCs w:val="28"/>
    </w:rPr>
  </w:style>
  <w:style w:type="paragraph" w:styleId="Title">
    <w:name w:val="Title"/>
    <w:aliases w:val="A. Title"/>
    <w:basedOn w:val="Normal"/>
    <w:next w:val="Normal"/>
    <w:link w:val="TitleChar"/>
    <w:uiPriority w:val="10"/>
    <w:qFormat/>
    <w:rsid w:val="00E71747"/>
    <w:pPr>
      <w:spacing w:before="0" w:after="300"/>
      <w:contextualSpacing/>
    </w:pPr>
    <w:rPr>
      <w:rFonts w:eastAsiaTheme="majorEastAsia" w:cstheme="majorBidi"/>
      <w:b/>
      <w:color w:val="EB391C"/>
      <w:spacing w:val="5"/>
      <w:kern w:val="28"/>
      <w:sz w:val="60"/>
      <w:szCs w:val="52"/>
    </w:rPr>
  </w:style>
  <w:style w:type="character" w:customStyle="1" w:styleId="TitleChar">
    <w:name w:val="Title Char"/>
    <w:aliases w:val="A. Title Char"/>
    <w:basedOn w:val="DefaultParagraphFont"/>
    <w:link w:val="Title"/>
    <w:uiPriority w:val="10"/>
    <w:rsid w:val="00E71747"/>
    <w:rPr>
      <w:rFonts w:ascii="Arial" w:eastAsiaTheme="majorEastAsia" w:hAnsi="Arial" w:cstheme="majorBidi"/>
      <w:b/>
      <w:color w:val="EB391C"/>
      <w:spacing w:val="5"/>
      <w:kern w:val="28"/>
      <w:sz w:val="60"/>
      <w:szCs w:val="52"/>
    </w:rPr>
  </w:style>
  <w:style w:type="paragraph" w:styleId="Subtitle">
    <w:name w:val="Subtitle"/>
    <w:basedOn w:val="Normal"/>
    <w:next w:val="Normal"/>
    <w:link w:val="SubtitleChar"/>
    <w:uiPriority w:val="11"/>
    <w:rsid w:val="00553B67"/>
    <w:pPr>
      <w:numPr>
        <w:ilvl w:val="1"/>
      </w:numPr>
      <w:spacing w:after="360"/>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553B67"/>
    <w:rPr>
      <w:rFonts w:ascii="Arial" w:eastAsiaTheme="majorEastAsia" w:hAnsi="Arial" w:cstheme="majorBidi"/>
      <w:iCs/>
      <w:spacing w:val="15"/>
      <w:sz w:val="32"/>
      <w:szCs w:val="24"/>
    </w:rPr>
  </w:style>
  <w:style w:type="paragraph" w:customStyle="1" w:styleId="ACoverDate">
    <w:name w:val="A. Cover: Date"/>
    <w:basedOn w:val="Normal"/>
    <w:link w:val="ACoverDateChar"/>
    <w:qFormat/>
    <w:rsid w:val="00C772FB"/>
    <w:pPr>
      <w:spacing w:after="200"/>
      <w:contextualSpacing/>
    </w:pPr>
    <w:rPr>
      <w:rFonts w:cs="Arial"/>
      <w:sz w:val="22"/>
      <w:szCs w:val="20"/>
    </w:rPr>
  </w:style>
  <w:style w:type="paragraph" w:customStyle="1" w:styleId="BTableofContents">
    <w:name w:val="B. Table of Contents"/>
    <w:basedOn w:val="Normal"/>
    <w:link w:val="BTableofContentsChar"/>
    <w:qFormat/>
    <w:rsid w:val="00E71747"/>
    <w:pPr>
      <w:spacing w:before="0" w:after="100"/>
    </w:pPr>
    <w:rPr>
      <w:rFonts w:cs="Arial"/>
      <w:b/>
      <w:color w:val="EB391C"/>
      <w:sz w:val="28"/>
      <w:szCs w:val="36"/>
    </w:rPr>
  </w:style>
  <w:style w:type="character" w:customStyle="1" w:styleId="ACoverDateChar">
    <w:name w:val="A. Cover: Date Char"/>
    <w:basedOn w:val="DefaultParagraphFont"/>
    <w:link w:val="ACoverDate"/>
    <w:rsid w:val="00C772FB"/>
    <w:rPr>
      <w:rFonts w:ascii="Arial" w:hAnsi="Arial" w:cs="Arial"/>
      <w:szCs w:val="20"/>
    </w:rPr>
  </w:style>
  <w:style w:type="paragraph" w:customStyle="1" w:styleId="p2Footer">
    <w:name w:val="p.2 Footer"/>
    <w:basedOn w:val="Footer"/>
    <w:link w:val="p2FooterChar"/>
    <w:rsid w:val="00A12732"/>
    <w:rPr>
      <w:i/>
      <w:sz w:val="14"/>
      <w:szCs w:val="14"/>
    </w:rPr>
  </w:style>
  <w:style w:type="character" w:customStyle="1" w:styleId="BTableofContentsChar">
    <w:name w:val="B. Table of Contents Char"/>
    <w:basedOn w:val="DefaultParagraphFont"/>
    <w:link w:val="BTableofContents"/>
    <w:rsid w:val="00E71747"/>
    <w:rPr>
      <w:rFonts w:ascii="Arial" w:hAnsi="Arial" w:cs="Arial"/>
      <w:b/>
      <w:color w:val="EB391C"/>
      <w:sz w:val="28"/>
      <w:szCs w:val="36"/>
    </w:rPr>
  </w:style>
  <w:style w:type="character" w:customStyle="1" w:styleId="Heading2Char">
    <w:name w:val="Heading 2 Char"/>
    <w:aliases w:val="D. Heading 2 Char"/>
    <w:basedOn w:val="DefaultParagraphFont"/>
    <w:link w:val="Heading2"/>
    <w:uiPriority w:val="9"/>
    <w:rsid w:val="00273671"/>
    <w:rPr>
      <w:rFonts w:ascii="Arial" w:eastAsiaTheme="majorEastAsia" w:hAnsi="Arial" w:cstheme="majorBidi"/>
      <w:bCs/>
      <w:caps/>
      <w:color w:val="000000" w:themeColor="text1"/>
      <w:sz w:val="28"/>
      <w:szCs w:val="26"/>
    </w:rPr>
  </w:style>
  <w:style w:type="character" w:customStyle="1" w:styleId="p2FooterChar">
    <w:name w:val="p.2 Footer Char"/>
    <w:basedOn w:val="FooterChar"/>
    <w:link w:val="p2Footer"/>
    <w:rsid w:val="00A12732"/>
    <w:rPr>
      <w:rFonts w:ascii="Arial" w:hAnsi="Arial"/>
      <w:i/>
      <w:sz w:val="14"/>
      <w:szCs w:val="14"/>
    </w:rPr>
  </w:style>
  <w:style w:type="paragraph" w:styleId="ListParagraph">
    <w:name w:val="List Paragraph"/>
    <w:aliases w:val="PECI Bullets (Content)"/>
    <w:basedOn w:val="Normal"/>
    <w:link w:val="ListParagraphChar"/>
    <w:uiPriority w:val="34"/>
    <w:qFormat/>
    <w:rsid w:val="004F1D13"/>
    <w:pPr>
      <w:ind w:left="720"/>
      <w:contextualSpacing/>
    </w:pPr>
  </w:style>
  <w:style w:type="paragraph" w:styleId="ListBullet">
    <w:name w:val="List Bullet"/>
    <w:aliases w:val="C. List Bullet"/>
    <w:basedOn w:val="Normal"/>
    <w:uiPriority w:val="99"/>
    <w:unhideWhenUsed/>
    <w:qFormat/>
    <w:rsid w:val="00980DD3"/>
    <w:pPr>
      <w:numPr>
        <w:numId w:val="15"/>
      </w:numPr>
      <w:tabs>
        <w:tab w:val="left" w:pos="576"/>
      </w:tabs>
      <w:spacing w:before="0"/>
      <w:contextualSpacing/>
    </w:pPr>
  </w:style>
  <w:style w:type="paragraph" w:styleId="ListBullet2">
    <w:name w:val="List Bullet 2"/>
    <w:aliases w:val="C. List Bullet 2"/>
    <w:basedOn w:val="Normal"/>
    <w:uiPriority w:val="99"/>
    <w:unhideWhenUsed/>
    <w:qFormat/>
    <w:rsid w:val="00980DD3"/>
    <w:pPr>
      <w:numPr>
        <w:numId w:val="11"/>
      </w:numPr>
      <w:tabs>
        <w:tab w:val="left" w:pos="936"/>
      </w:tabs>
      <w:spacing w:before="0"/>
      <w:contextualSpacing/>
    </w:pPr>
  </w:style>
  <w:style w:type="character" w:customStyle="1" w:styleId="Heading3Char">
    <w:name w:val="Heading 3 Char"/>
    <w:aliases w:val="D. Heading 3 Char"/>
    <w:basedOn w:val="DefaultParagraphFont"/>
    <w:link w:val="Heading3"/>
    <w:uiPriority w:val="9"/>
    <w:rsid w:val="00273671"/>
    <w:rPr>
      <w:rFonts w:ascii="Arial" w:eastAsiaTheme="majorEastAsia" w:hAnsi="Arial" w:cstheme="majorBidi"/>
      <w:b/>
      <w:bCs/>
      <w:caps/>
      <w:color w:val="7F7F7F" w:themeColor="text1" w:themeTint="80"/>
      <w:sz w:val="24"/>
    </w:rPr>
  </w:style>
  <w:style w:type="character" w:customStyle="1" w:styleId="Heading4Char">
    <w:name w:val="Heading 4 Char"/>
    <w:aliases w:val="D. Heading 4 Char"/>
    <w:basedOn w:val="DefaultParagraphFont"/>
    <w:link w:val="Heading4"/>
    <w:uiPriority w:val="9"/>
    <w:rsid w:val="00273671"/>
    <w:rPr>
      <w:rFonts w:ascii="Arial" w:eastAsiaTheme="majorEastAsia" w:hAnsi="Arial" w:cstheme="majorBidi"/>
      <w:b/>
      <w:bCs/>
      <w:i/>
      <w:iCs/>
      <w:color w:val="EB391C"/>
      <w:sz w:val="20"/>
      <w:u w:val="single"/>
    </w:rPr>
  </w:style>
  <w:style w:type="paragraph" w:styleId="ListNumber">
    <w:name w:val="List Number"/>
    <w:aliases w:val="C. List Number"/>
    <w:basedOn w:val="Normal"/>
    <w:uiPriority w:val="99"/>
    <w:unhideWhenUsed/>
    <w:qFormat/>
    <w:rsid w:val="00A85A0B"/>
    <w:pPr>
      <w:numPr>
        <w:numId w:val="25"/>
      </w:numPr>
      <w:spacing w:before="0"/>
      <w:contextualSpacing/>
    </w:pPr>
    <w:rPr>
      <w:lang w:val="en"/>
    </w:rPr>
  </w:style>
  <w:style w:type="paragraph" w:styleId="ListNumber2">
    <w:name w:val="List Number 2"/>
    <w:aliases w:val="C. List Number 2"/>
    <w:basedOn w:val="Normal"/>
    <w:uiPriority w:val="99"/>
    <w:unhideWhenUsed/>
    <w:qFormat/>
    <w:rsid w:val="00A85A0B"/>
    <w:pPr>
      <w:numPr>
        <w:numId w:val="14"/>
      </w:numPr>
      <w:tabs>
        <w:tab w:val="left" w:pos="936"/>
      </w:tabs>
      <w:spacing w:before="0"/>
      <w:contextualSpacing/>
    </w:pPr>
  </w:style>
  <w:style w:type="character" w:customStyle="1" w:styleId="Heading5Char">
    <w:name w:val="Heading 5 Char"/>
    <w:aliases w:val="D. Heading 5 Char"/>
    <w:basedOn w:val="DefaultParagraphFont"/>
    <w:link w:val="Heading5"/>
    <w:uiPriority w:val="9"/>
    <w:rsid w:val="00295479"/>
    <w:rPr>
      <w:rFonts w:ascii="Arial" w:eastAsiaTheme="majorEastAsia" w:hAnsi="Arial" w:cstheme="majorBidi"/>
      <w:b/>
      <w:i/>
      <w:color w:val="000000" w:themeColor="text1"/>
      <w:sz w:val="18"/>
    </w:rPr>
  </w:style>
  <w:style w:type="paragraph" w:styleId="TOCHeading">
    <w:name w:val="TOC Heading"/>
    <w:basedOn w:val="Heading1"/>
    <w:next w:val="Normal"/>
    <w:uiPriority w:val="39"/>
    <w:unhideWhenUsed/>
    <w:qFormat/>
    <w:rsid w:val="00E71747"/>
    <w:pPr>
      <w:spacing w:before="480"/>
      <w:outlineLvl w:val="9"/>
    </w:pPr>
    <w:rPr>
      <w:rFonts w:asciiTheme="majorHAnsi" w:hAnsiTheme="majorHAnsi"/>
      <w:sz w:val="28"/>
      <w:lang w:eastAsia="ja-JP"/>
    </w:rPr>
  </w:style>
  <w:style w:type="paragraph" w:styleId="TOC2">
    <w:name w:val="toc 2"/>
    <w:basedOn w:val="Normal"/>
    <w:next w:val="Normal"/>
    <w:autoRedefine/>
    <w:uiPriority w:val="39"/>
    <w:unhideWhenUsed/>
    <w:rsid w:val="00D03498"/>
    <w:pPr>
      <w:tabs>
        <w:tab w:val="left" w:leader="dot" w:pos="8640"/>
      </w:tabs>
      <w:spacing w:before="0"/>
      <w:ind w:left="187"/>
    </w:pPr>
    <w:rPr>
      <w:rFonts w:asciiTheme="minorHAnsi" w:hAnsiTheme="minorHAnsi" w:cstheme="minorHAnsi"/>
      <w:color w:val="000000" w:themeColor="text1"/>
      <w:sz w:val="22"/>
    </w:rPr>
  </w:style>
  <w:style w:type="paragraph" w:styleId="TOC3">
    <w:name w:val="toc 3"/>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rPr>
  </w:style>
  <w:style w:type="character" w:styleId="Hyperlink">
    <w:name w:val="Hyperlink"/>
    <w:basedOn w:val="DefaultParagraphFont"/>
    <w:uiPriority w:val="99"/>
    <w:unhideWhenUsed/>
    <w:rsid w:val="001A5325"/>
    <w:rPr>
      <w:color w:val="007299" w:themeColor="hyperlink"/>
      <w:u w:val="single"/>
    </w:rPr>
  </w:style>
  <w:style w:type="paragraph" w:styleId="TOC1">
    <w:name w:val="toc 1"/>
    <w:basedOn w:val="Normal"/>
    <w:next w:val="Normal"/>
    <w:autoRedefine/>
    <w:uiPriority w:val="39"/>
    <w:unhideWhenUsed/>
    <w:rsid w:val="0081721C"/>
    <w:pPr>
      <w:tabs>
        <w:tab w:val="left" w:leader="dot" w:pos="8640"/>
      </w:tabs>
      <w:spacing w:before="120"/>
    </w:pPr>
    <w:rPr>
      <w:rFonts w:asciiTheme="minorHAnsi" w:hAnsiTheme="minorHAnsi" w:cstheme="minorHAnsi"/>
      <w:b/>
      <w:color w:val="054B56" w:themeColor="text2"/>
      <w:sz w:val="24"/>
      <w:szCs w:val="24"/>
    </w:rPr>
  </w:style>
  <w:style w:type="paragraph" w:styleId="ListBullet3">
    <w:name w:val="List Bullet 3"/>
    <w:aliases w:val="C. List Bullet 3"/>
    <w:basedOn w:val="Normal"/>
    <w:uiPriority w:val="99"/>
    <w:unhideWhenUsed/>
    <w:qFormat/>
    <w:rsid w:val="00980DD3"/>
    <w:pPr>
      <w:numPr>
        <w:numId w:val="12"/>
      </w:numPr>
      <w:tabs>
        <w:tab w:val="left" w:pos="1296"/>
      </w:tabs>
      <w:spacing w:before="0"/>
      <w:contextualSpacing/>
    </w:pPr>
  </w:style>
  <w:style w:type="paragraph" w:styleId="Quote">
    <w:name w:val="Quote"/>
    <w:basedOn w:val="Normal"/>
    <w:next w:val="Normal"/>
    <w:link w:val="QuoteChar"/>
    <w:uiPriority w:val="29"/>
    <w:rsid w:val="00DA69FC"/>
    <w:pPr>
      <w:pBdr>
        <w:top w:val="single" w:sz="12" w:space="10" w:color="08ACB9"/>
        <w:bottom w:val="single" w:sz="12" w:space="8" w:color="08ACB9"/>
      </w:pBdr>
    </w:pPr>
    <w:rPr>
      <w:iCs/>
      <w:color w:val="ACA095"/>
      <w:sz w:val="36"/>
    </w:rPr>
  </w:style>
  <w:style w:type="character" w:customStyle="1" w:styleId="QuoteChar">
    <w:name w:val="Quote Char"/>
    <w:basedOn w:val="DefaultParagraphFont"/>
    <w:link w:val="Quote"/>
    <w:uiPriority w:val="29"/>
    <w:rsid w:val="00DA69FC"/>
    <w:rPr>
      <w:rFonts w:ascii="Arial" w:hAnsi="Arial"/>
      <w:iCs/>
      <w:color w:val="ACA095"/>
      <w:sz w:val="36"/>
    </w:rPr>
  </w:style>
  <w:style w:type="paragraph" w:styleId="ListContinue">
    <w:name w:val="List Continue"/>
    <w:basedOn w:val="Normal"/>
    <w:uiPriority w:val="99"/>
    <w:unhideWhenUsed/>
    <w:rsid w:val="00CB09B6"/>
    <w:pPr>
      <w:spacing w:after="120"/>
      <w:ind w:left="360"/>
      <w:contextualSpacing/>
    </w:pPr>
  </w:style>
  <w:style w:type="paragraph" w:styleId="ListContinue2">
    <w:name w:val="List Continue 2"/>
    <w:basedOn w:val="Normal"/>
    <w:uiPriority w:val="99"/>
    <w:unhideWhenUsed/>
    <w:rsid w:val="00CB09B6"/>
    <w:pPr>
      <w:spacing w:after="120"/>
      <w:ind w:left="720"/>
      <w:contextualSpacing/>
    </w:pPr>
  </w:style>
  <w:style w:type="paragraph" w:styleId="List">
    <w:name w:val="List"/>
    <w:basedOn w:val="Normal"/>
    <w:uiPriority w:val="99"/>
    <w:unhideWhenUsed/>
    <w:rsid w:val="00CB09B6"/>
    <w:pPr>
      <w:ind w:left="360" w:hanging="360"/>
      <w:contextualSpacing/>
    </w:pPr>
  </w:style>
  <w:style w:type="paragraph" w:styleId="List2">
    <w:name w:val="List 2"/>
    <w:basedOn w:val="Normal"/>
    <w:uiPriority w:val="99"/>
    <w:unhideWhenUsed/>
    <w:rsid w:val="00CB09B6"/>
    <w:pPr>
      <w:ind w:left="720" w:hanging="360"/>
      <w:contextualSpacing/>
    </w:pPr>
  </w:style>
  <w:style w:type="table" w:styleId="TableGrid">
    <w:name w:val="Table Grid"/>
    <w:basedOn w:val="TableNormal"/>
    <w:uiPriority w:val="59"/>
    <w:rsid w:val="00740DE0"/>
    <w:pPr>
      <w:spacing w:after="0" w:line="240" w:lineRule="auto"/>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Caption">
    <w:name w:val="caption"/>
    <w:aliases w:val="C. Caption"/>
    <w:basedOn w:val="Normal"/>
    <w:next w:val="Normal"/>
    <w:link w:val="CaptionChar"/>
    <w:uiPriority w:val="35"/>
    <w:unhideWhenUsed/>
    <w:qFormat/>
    <w:rsid w:val="00DB7BB7"/>
    <w:pPr>
      <w:keepNext/>
      <w:framePr w:hSpace="72" w:vSpace="72" w:wrap="notBeside" w:vAnchor="text" w:hAnchor="margin" w:y="2607"/>
      <w:pBdr>
        <w:top w:val="single" w:sz="4" w:space="4" w:color="auto"/>
      </w:pBdr>
      <w:spacing w:after="60"/>
    </w:pPr>
    <w:rPr>
      <w:b/>
      <w:bCs/>
      <w:color w:val="404040"/>
      <w:sz w:val="16"/>
      <w:szCs w:val="18"/>
    </w:rPr>
  </w:style>
  <w:style w:type="paragraph" w:customStyle="1" w:styleId="TableTitleRow">
    <w:name w:val="Table Title Row"/>
    <w:link w:val="TableTitleRowChar"/>
    <w:rsid w:val="00C5255D"/>
    <w:pPr>
      <w:spacing w:after="0"/>
      <w:jc w:val="center"/>
    </w:pPr>
    <w:rPr>
      <w:rFonts w:ascii="Arial" w:hAnsi="Arial"/>
      <w:b/>
      <w:bCs/>
      <w:color w:val="FFFFFF" w:themeColor="background1"/>
      <w:sz w:val="16"/>
      <w:szCs w:val="16"/>
    </w:rPr>
  </w:style>
  <w:style w:type="paragraph" w:customStyle="1" w:styleId="CTableContent">
    <w:name w:val="C. Table Content"/>
    <w:link w:val="CTableContentChar"/>
    <w:qFormat/>
    <w:rsid w:val="0074743A"/>
    <w:pPr>
      <w:framePr w:hSpace="180" w:wrap="around" w:vAnchor="page" w:hAnchor="page" w:x="1153" w:y="6445"/>
      <w:spacing w:after="0" w:line="240" w:lineRule="auto"/>
    </w:pPr>
    <w:rPr>
      <w:rFonts w:ascii="Arial" w:hAnsi="Arial"/>
      <w:bCs/>
      <w:sz w:val="18"/>
      <w:szCs w:val="18"/>
    </w:rPr>
  </w:style>
  <w:style w:type="character" w:customStyle="1" w:styleId="CaptionChar">
    <w:name w:val="Caption Char"/>
    <w:aliases w:val="C. Caption Char"/>
    <w:basedOn w:val="DefaultParagraphFont"/>
    <w:link w:val="Caption"/>
    <w:uiPriority w:val="35"/>
    <w:rsid w:val="00DB7BB7"/>
    <w:rPr>
      <w:rFonts w:ascii="Arial" w:hAnsi="Arial"/>
      <w:b/>
      <w:bCs/>
      <w:color w:val="404040"/>
      <w:sz w:val="16"/>
      <w:szCs w:val="18"/>
    </w:rPr>
  </w:style>
  <w:style w:type="character" w:customStyle="1" w:styleId="TableTitleRowChar">
    <w:name w:val="Table Title Row Char"/>
    <w:basedOn w:val="CaptionChar"/>
    <w:link w:val="TableTitleRow"/>
    <w:rsid w:val="00C5255D"/>
    <w:rPr>
      <w:rFonts w:ascii="Arial" w:hAnsi="Arial"/>
      <w:b/>
      <w:bCs/>
      <w:color w:val="FFFFFF" w:themeColor="background1"/>
      <w:sz w:val="16"/>
      <w:szCs w:val="16"/>
    </w:rPr>
  </w:style>
  <w:style w:type="paragraph" w:customStyle="1" w:styleId="CFootnote">
    <w:name w:val="C. Footnote"/>
    <w:basedOn w:val="Normal"/>
    <w:link w:val="CFootnoteChar"/>
    <w:qFormat/>
    <w:rsid w:val="00A85A0B"/>
    <w:pPr>
      <w:spacing w:before="60" w:after="200"/>
    </w:pPr>
    <w:rPr>
      <w:i/>
      <w:sz w:val="14"/>
      <w:szCs w:val="14"/>
    </w:rPr>
  </w:style>
  <w:style w:type="character" w:customStyle="1" w:styleId="CTableContentChar">
    <w:name w:val="C. Table Content Char"/>
    <w:basedOn w:val="CaptionChar"/>
    <w:link w:val="CTableContent"/>
    <w:rsid w:val="0074743A"/>
    <w:rPr>
      <w:rFonts w:ascii="Arial" w:hAnsi="Arial"/>
      <w:b w:val="0"/>
      <w:bCs/>
      <w:color w:val="404040"/>
      <w:sz w:val="18"/>
      <w:szCs w:val="18"/>
    </w:rPr>
  </w:style>
  <w:style w:type="character" w:customStyle="1" w:styleId="CFootnoteChar">
    <w:name w:val="C. Footnote Char"/>
    <w:basedOn w:val="DefaultParagraphFont"/>
    <w:link w:val="CFootnote"/>
    <w:rsid w:val="00A85A0B"/>
    <w:rPr>
      <w:rFonts w:ascii="Arial" w:hAnsi="Arial"/>
      <w:i/>
      <w:sz w:val="14"/>
      <w:szCs w:val="14"/>
    </w:rPr>
  </w:style>
  <w:style w:type="paragraph" w:customStyle="1" w:styleId="EPageHeader">
    <w:name w:val="E. Page Header"/>
    <w:link w:val="EPageHeaderChar"/>
    <w:qFormat/>
    <w:rsid w:val="00225906"/>
    <w:pPr>
      <w:tabs>
        <w:tab w:val="right" w:pos="10080"/>
      </w:tabs>
      <w:spacing w:after="0" w:line="240" w:lineRule="auto"/>
    </w:pPr>
    <w:rPr>
      <w:rFonts w:ascii="Arial" w:hAnsi="Arial"/>
      <w:color w:val="054B56"/>
      <w:sz w:val="16"/>
      <w:szCs w:val="16"/>
      <w:lang w:eastAsia="ja-JP"/>
    </w:rPr>
  </w:style>
  <w:style w:type="character" w:customStyle="1" w:styleId="EPageHeaderChar">
    <w:name w:val="E. Page Header Char"/>
    <w:basedOn w:val="DefaultParagraphFont"/>
    <w:link w:val="EPageHeader"/>
    <w:rsid w:val="00225906"/>
    <w:rPr>
      <w:rFonts w:ascii="Arial" w:hAnsi="Arial"/>
      <w:color w:val="054B56"/>
      <w:sz w:val="16"/>
      <w:szCs w:val="16"/>
      <w:lang w:eastAsia="ja-JP"/>
    </w:rPr>
  </w:style>
  <w:style w:type="table" w:customStyle="1" w:styleId="CLEAResultTable">
    <w:name w:val="CLEAResult Table"/>
    <w:basedOn w:val="TableGrid1"/>
    <w:uiPriority w:val="99"/>
    <w:rsid w:val="00E05FCA"/>
    <w:pPr>
      <w:spacing w:after="0" w:line="240" w:lineRule="auto"/>
    </w:pPr>
    <w:rPr>
      <w:rFonts w:ascii="Arial" w:hAnsi="Arial"/>
      <w:sz w:val="20"/>
      <w:szCs w:val="16"/>
      <w:lang w:eastAsia="ja-JP"/>
    </w:rPr>
    <w:tblPr>
      <w:tblStyleRowBandSize w:val="1"/>
      <w:tblStyleColBandSize w:val="1"/>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CellMar>
        <w:top w:w="29" w:type="dxa"/>
        <w:left w:w="72" w:type="dxa"/>
        <w:bottom w:w="29" w:type="dxa"/>
        <w:right w:w="72" w:type="dxa"/>
      </w:tblCellMar>
    </w:tblPr>
    <w:tcPr>
      <w:shd w:val="clear" w:color="auto" w:fill="auto"/>
      <w:vAlign w:val="center"/>
    </w:tcPr>
    <w:tblStylePr w:type="firstRow">
      <w:pPr>
        <w:jc w:val="left"/>
      </w:pPr>
      <w:rPr>
        <w:b/>
        <w:color w:val="FFFFFF" w:themeColor="background1"/>
        <w:sz w:val="20"/>
      </w:rPr>
      <w:tblPr/>
      <w:tcPr>
        <w:shd w:val="clear" w:color="auto" w:fill="007299"/>
      </w:tcPr>
    </w:tblStylePr>
    <w:tblStylePr w:type="lastRow">
      <w:pPr>
        <w:jc w:val="center"/>
      </w:pPr>
      <w:rPr>
        <w:b/>
        <w:i w:val="0"/>
        <w:iCs/>
        <w:color w:val="000000" w:themeColor="text1"/>
      </w:rPr>
      <w:tblPr/>
      <w:tcPr>
        <w:shd w:val="clear" w:color="auto" w:fill="EFE9E5"/>
      </w:tcPr>
    </w:tblStylePr>
    <w:tblStylePr w:type="firstCol">
      <w:pPr>
        <w:jc w:val="center"/>
      </w:pPr>
      <w:tblPr/>
      <w:tcPr>
        <w:shd w:val="clear" w:color="auto" w:fill="F4CE00"/>
      </w:tcPr>
    </w:tblStylePr>
    <w:tblStylePr w:type="lastCol">
      <w:rPr>
        <w:b/>
        <w:i w:val="0"/>
        <w:iCs/>
      </w:rPr>
      <w:tblPr/>
      <w:tcPr>
        <w:shd w:val="clear" w:color="auto" w:fill="EFE9E5"/>
      </w:tcPr>
    </w:tblStylePr>
  </w:style>
  <w:style w:type="table" w:styleId="LightShading">
    <w:name w:val="Light Shading"/>
    <w:basedOn w:val="TableNormal"/>
    <w:uiPriority w:val="60"/>
    <w:rsid w:val="00070D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9F6C8A"/>
    <w:pPr>
      <w:spacing w:after="0" w:line="240" w:lineRule="auto"/>
    </w:pPr>
    <w:tblPr>
      <w:tblStyleRowBandSize w:val="1"/>
      <w:tblStyleColBandSize w:val="1"/>
      <w:tblBorders>
        <w:top w:val="single" w:sz="8" w:space="0" w:color="054B56" w:themeColor="accent1"/>
        <w:left w:val="single" w:sz="8" w:space="0" w:color="054B56" w:themeColor="accent1"/>
        <w:bottom w:val="single" w:sz="8" w:space="0" w:color="054B56" w:themeColor="accent1"/>
        <w:right w:val="single" w:sz="8" w:space="0" w:color="054B56" w:themeColor="accent1"/>
      </w:tblBorders>
    </w:tblPr>
    <w:tblStylePr w:type="firstRow">
      <w:pPr>
        <w:spacing w:before="0" w:after="0" w:line="240" w:lineRule="auto"/>
      </w:pPr>
      <w:rPr>
        <w:b/>
        <w:bCs/>
        <w:color w:val="FFFFFF" w:themeColor="background1"/>
      </w:rPr>
      <w:tblPr/>
      <w:tcPr>
        <w:shd w:val="clear" w:color="auto" w:fill="054B56" w:themeFill="accent1"/>
      </w:tcPr>
    </w:tblStylePr>
    <w:tblStylePr w:type="lastRow">
      <w:pPr>
        <w:spacing w:before="0" w:after="0" w:line="240" w:lineRule="auto"/>
      </w:pPr>
      <w:rPr>
        <w:b/>
        <w:bCs/>
      </w:rPr>
      <w:tblPr/>
      <w:tcPr>
        <w:tcBorders>
          <w:top w:val="double" w:sz="6" w:space="0" w:color="054B56" w:themeColor="accent1"/>
          <w:left w:val="single" w:sz="8" w:space="0" w:color="054B56" w:themeColor="accent1"/>
          <w:bottom w:val="single" w:sz="8" w:space="0" w:color="054B56" w:themeColor="accent1"/>
          <w:right w:val="single" w:sz="8" w:space="0" w:color="054B56" w:themeColor="accent1"/>
        </w:tcBorders>
      </w:tcPr>
    </w:tblStylePr>
    <w:tblStylePr w:type="firstCol">
      <w:rPr>
        <w:b/>
        <w:bCs/>
      </w:rPr>
    </w:tblStylePr>
    <w:tblStylePr w:type="lastCol">
      <w:rPr>
        <w:b/>
        <w:bCs/>
      </w:rPr>
    </w:tblStylePr>
    <w:tblStylePr w:type="band1Vert">
      <w:tblPr/>
      <w:tcPr>
        <w:tcBorders>
          <w:top w:val="single" w:sz="8" w:space="0" w:color="054B56" w:themeColor="accent1"/>
          <w:left w:val="single" w:sz="8" w:space="0" w:color="054B56" w:themeColor="accent1"/>
          <w:bottom w:val="single" w:sz="8" w:space="0" w:color="054B56" w:themeColor="accent1"/>
          <w:right w:val="single" w:sz="8" w:space="0" w:color="054B56" w:themeColor="accent1"/>
        </w:tcBorders>
      </w:tcPr>
    </w:tblStylePr>
    <w:tblStylePr w:type="band1Horz">
      <w:tblPr/>
      <w:tcPr>
        <w:tcBorders>
          <w:top w:val="single" w:sz="8" w:space="0" w:color="054B56" w:themeColor="accent1"/>
          <w:left w:val="single" w:sz="8" w:space="0" w:color="054B56" w:themeColor="accent1"/>
          <w:bottom w:val="single" w:sz="8" w:space="0" w:color="054B56" w:themeColor="accent1"/>
          <w:right w:val="single" w:sz="8" w:space="0" w:color="054B56" w:themeColor="accent1"/>
        </w:tcBorders>
      </w:tcPr>
    </w:tblStylePr>
  </w:style>
  <w:style w:type="paragraph" w:customStyle="1" w:styleId="Table">
    <w:name w:val="Table"/>
    <w:basedOn w:val="Normal"/>
    <w:rsid w:val="00100F20"/>
    <w:pPr>
      <w:spacing w:line="240" w:lineRule="auto"/>
      <w:jc w:val="center"/>
    </w:pPr>
    <w:rPr>
      <w:sz w:val="16"/>
      <w:lang w:val="en"/>
    </w:rPr>
  </w:style>
  <w:style w:type="table" w:styleId="TableGrid1">
    <w:name w:val="Table Grid 1"/>
    <w:basedOn w:val="TableNormal"/>
    <w:uiPriority w:val="99"/>
    <w:semiHidden/>
    <w:unhideWhenUsed/>
    <w:rsid w:val="00740DE0"/>
    <w:pPr>
      <w:spacing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TaglineFooter">
    <w:name w:val="Tagline Footer"/>
    <w:rsid w:val="0053066E"/>
    <w:pPr>
      <w:spacing w:after="0"/>
      <w:jc w:val="right"/>
    </w:pPr>
    <w:rPr>
      <w:rFonts w:ascii="Arial" w:hAnsi="Arial"/>
      <w:color w:val="F50000"/>
      <w:sz w:val="16"/>
      <w:szCs w:val="16"/>
    </w:rPr>
  </w:style>
  <w:style w:type="paragraph" w:customStyle="1" w:styleId="CParagraphBullets">
    <w:name w:val="C. Paragraph Bullets"/>
    <w:basedOn w:val="ListBullet"/>
    <w:qFormat/>
    <w:rsid w:val="001D2FFA"/>
    <w:pPr>
      <w:numPr>
        <w:numId w:val="10"/>
      </w:numPr>
      <w:spacing w:before="100"/>
    </w:pPr>
  </w:style>
  <w:style w:type="paragraph" w:customStyle="1" w:styleId="1-CoverReportDetailsTitle">
    <w:name w:val="1-Cover: Report Details Title"/>
    <w:link w:val="1-CoverReportDetailsTitleChar"/>
    <w:rsid w:val="00B26C87"/>
    <w:pPr>
      <w:spacing w:before="200" w:after="300"/>
      <w:contextualSpacing/>
    </w:pPr>
    <w:rPr>
      <w:rFonts w:ascii="Arial" w:hAnsi="Arial" w:cs="Arial"/>
      <w:b/>
      <w:color w:val="007299"/>
      <w:szCs w:val="20"/>
    </w:rPr>
  </w:style>
  <w:style w:type="character" w:customStyle="1" w:styleId="1-CoverReportDetailsTitleChar">
    <w:name w:val="1-Cover: Report Details Title Char"/>
    <w:basedOn w:val="ACoverDateChar"/>
    <w:link w:val="1-CoverReportDetailsTitle"/>
    <w:rsid w:val="00B26C87"/>
    <w:rPr>
      <w:rFonts w:ascii="Arial" w:hAnsi="Arial" w:cs="Arial"/>
      <w:b/>
      <w:color w:val="007299"/>
      <w:szCs w:val="20"/>
    </w:rPr>
  </w:style>
  <w:style w:type="character" w:customStyle="1" w:styleId="ACoverDetailsChar">
    <w:name w:val="A. Cover: Details Char"/>
    <w:basedOn w:val="DefaultParagraphFont"/>
    <w:link w:val="ACoverDetails"/>
    <w:uiPriority w:val="1"/>
    <w:qFormat/>
    <w:rsid w:val="00B26C87"/>
  </w:style>
  <w:style w:type="paragraph" w:customStyle="1" w:styleId="ACoverDetails">
    <w:name w:val="A. Cover: Details"/>
    <w:basedOn w:val="Normal"/>
    <w:link w:val="ACoverDetailsChar"/>
    <w:uiPriority w:val="1"/>
    <w:qFormat/>
    <w:rsid w:val="00B26C87"/>
    <w:rPr>
      <w:rFonts w:asciiTheme="minorHAnsi" w:hAnsiTheme="minorHAnsi"/>
      <w:sz w:val="22"/>
    </w:rPr>
  </w:style>
  <w:style w:type="paragraph" w:styleId="TOC4">
    <w:name w:val="toc 4"/>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5">
    <w:name w:val="toc 5"/>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6">
    <w:name w:val="toc 6"/>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7">
    <w:name w:val="toc 7"/>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8">
    <w:name w:val="toc 8"/>
    <w:basedOn w:val="Normal"/>
    <w:next w:val="Normal"/>
    <w:autoRedefine/>
    <w:uiPriority w:val="39"/>
    <w:unhideWhenUsed/>
    <w:rsid w:val="0081721C"/>
    <w:pPr>
      <w:tabs>
        <w:tab w:val="left" w:leader="dot" w:pos="8640"/>
      </w:tabs>
      <w:spacing w:before="0"/>
      <w:ind w:left="187"/>
    </w:pPr>
    <w:rPr>
      <w:rFonts w:asciiTheme="minorHAnsi" w:hAnsiTheme="minorHAnsi" w:cstheme="minorHAnsi"/>
      <w:sz w:val="22"/>
      <w:szCs w:val="20"/>
    </w:rPr>
  </w:style>
  <w:style w:type="paragraph" w:styleId="TOC9">
    <w:name w:val="toc 9"/>
    <w:basedOn w:val="Normal"/>
    <w:next w:val="Normal"/>
    <w:autoRedefine/>
    <w:uiPriority w:val="39"/>
    <w:unhideWhenUsed/>
    <w:rsid w:val="0081721C"/>
    <w:pPr>
      <w:tabs>
        <w:tab w:val="left" w:pos="8640"/>
      </w:tabs>
      <w:spacing w:before="0"/>
      <w:ind w:left="187"/>
    </w:pPr>
    <w:rPr>
      <w:rFonts w:asciiTheme="minorHAnsi" w:hAnsiTheme="minorHAnsi" w:cstheme="minorHAnsi"/>
      <w:sz w:val="22"/>
      <w:szCs w:val="20"/>
    </w:rPr>
  </w:style>
  <w:style w:type="paragraph" w:customStyle="1" w:styleId="Default">
    <w:name w:val="Default"/>
    <w:rsid w:val="00DB03C9"/>
    <w:pPr>
      <w:autoSpaceDE w:val="0"/>
      <w:autoSpaceDN w:val="0"/>
      <w:adjustRightInd w:val="0"/>
      <w:spacing w:after="0" w:line="240" w:lineRule="auto"/>
    </w:pPr>
    <w:rPr>
      <w:rFonts w:ascii="Times New Roman" w:hAnsi="Times New Roman" w:cs="Times New Roman"/>
      <w:color w:val="000000"/>
      <w:sz w:val="24"/>
      <w:szCs w:val="24"/>
    </w:rPr>
  </w:style>
  <w:style w:type="table" w:styleId="ListTable3-Accent1">
    <w:name w:val="List Table 3 Accent 1"/>
    <w:basedOn w:val="TableNormal"/>
    <w:uiPriority w:val="48"/>
    <w:rsid w:val="00DB03C9"/>
    <w:pPr>
      <w:spacing w:after="0" w:line="240" w:lineRule="auto"/>
    </w:pPr>
    <w:tblPr>
      <w:tblStyleRowBandSize w:val="1"/>
      <w:tblStyleColBandSize w:val="1"/>
      <w:tblBorders>
        <w:top w:val="single" w:sz="4" w:space="0" w:color="054B56" w:themeColor="accent1"/>
        <w:left w:val="single" w:sz="4" w:space="0" w:color="054B56" w:themeColor="accent1"/>
        <w:bottom w:val="single" w:sz="4" w:space="0" w:color="054B56" w:themeColor="accent1"/>
        <w:right w:val="single" w:sz="4" w:space="0" w:color="054B56" w:themeColor="accent1"/>
      </w:tblBorders>
    </w:tblPr>
    <w:tblStylePr w:type="firstRow">
      <w:rPr>
        <w:b/>
        <w:bCs/>
        <w:color w:val="FFFFFF" w:themeColor="background1"/>
      </w:rPr>
      <w:tblPr/>
      <w:tcPr>
        <w:shd w:val="clear" w:color="auto" w:fill="054B56" w:themeFill="accent1"/>
      </w:tcPr>
    </w:tblStylePr>
    <w:tblStylePr w:type="lastRow">
      <w:rPr>
        <w:b/>
        <w:bCs/>
      </w:rPr>
      <w:tblPr/>
      <w:tcPr>
        <w:tcBorders>
          <w:top w:val="double" w:sz="4" w:space="0" w:color="054B5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4B56" w:themeColor="accent1"/>
          <w:right w:val="single" w:sz="4" w:space="0" w:color="054B56" w:themeColor="accent1"/>
        </w:tcBorders>
      </w:tcPr>
    </w:tblStylePr>
    <w:tblStylePr w:type="band1Horz">
      <w:tblPr/>
      <w:tcPr>
        <w:tcBorders>
          <w:top w:val="single" w:sz="4" w:space="0" w:color="054B56" w:themeColor="accent1"/>
          <w:bottom w:val="single" w:sz="4" w:space="0" w:color="054B5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4B56" w:themeColor="accent1"/>
          <w:left w:val="nil"/>
        </w:tcBorders>
      </w:tcPr>
    </w:tblStylePr>
    <w:tblStylePr w:type="swCell">
      <w:tblPr/>
      <w:tcPr>
        <w:tcBorders>
          <w:top w:val="double" w:sz="4" w:space="0" w:color="054B56" w:themeColor="accent1"/>
          <w:right w:val="nil"/>
        </w:tcBorders>
      </w:tcPr>
    </w:tblStylePr>
  </w:style>
  <w:style w:type="paragraph" w:styleId="FootnoteText">
    <w:name w:val="footnote text"/>
    <w:basedOn w:val="Normal"/>
    <w:link w:val="FootnoteTextChar"/>
    <w:unhideWhenUsed/>
    <w:rsid w:val="00DB03C9"/>
    <w:pPr>
      <w:spacing w:before="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03C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B03C9"/>
    <w:rPr>
      <w:vertAlign w:val="superscript"/>
    </w:rPr>
  </w:style>
  <w:style w:type="character" w:styleId="FollowedHyperlink">
    <w:name w:val="FollowedHyperlink"/>
    <w:basedOn w:val="DefaultParagraphFont"/>
    <w:uiPriority w:val="99"/>
    <w:semiHidden/>
    <w:unhideWhenUsed/>
    <w:rsid w:val="00DB03C9"/>
    <w:rPr>
      <w:color w:val="92B7BC" w:themeColor="followedHyperlink"/>
      <w:u w:val="single"/>
    </w:rPr>
  </w:style>
  <w:style w:type="table" w:customStyle="1" w:styleId="TableGrid10">
    <w:name w:val="Table Grid1"/>
    <w:basedOn w:val="TableNormal"/>
    <w:next w:val="TableGrid"/>
    <w:uiPriority w:val="39"/>
    <w:rsid w:val="00DB03C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DB03C9"/>
    <w:pPr>
      <w:spacing w:before="0" w:after="180"/>
    </w:pPr>
    <w:rPr>
      <w:sz w:val="22"/>
    </w:rPr>
  </w:style>
  <w:style w:type="table" w:customStyle="1" w:styleId="TableGrid2">
    <w:name w:val="Table Grid2"/>
    <w:basedOn w:val="TableNormal"/>
    <w:next w:val="TableGrid"/>
    <w:uiPriority w:val="59"/>
    <w:rsid w:val="00DB03C9"/>
    <w:pPr>
      <w:spacing w:after="0" w:line="240" w:lineRule="auto"/>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DB03C9"/>
    <w:rPr>
      <w:sz w:val="18"/>
      <w:szCs w:val="18"/>
    </w:rPr>
  </w:style>
  <w:style w:type="paragraph" w:styleId="CommentText">
    <w:name w:val="annotation text"/>
    <w:basedOn w:val="Normal"/>
    <w:link w:val="CommentTextChar"/>
    <w:uiPriority w:val="99"/>
    <w:semiHidden/>
    <w:unhideWhenUsed/>
    <w:rsid w:val="00DB03C9"/>
    <w:pPr>
      <w:spacing w:line="240" w:lineRule="auto"/>
    </w:pPr>
    <w:rPr>
      <w:sz w:val="24"/>
      <w:szCs w:val="24"/>
    </w:rPr>
  </w:style>
  <w:style w:type="character" w:customStyle="1" w:styleId="CommentTextChar">
    <w:name w:val="Comment Text Char"/>
    <w:basedOn w:val="DefaultParagraphFont"/>
    <w:link w:val="CommentText"/>
    <w:uiPriority w:val="99"/>
    <w:semiHidden/>
    <w:rsid w:val="00DB03C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B03C9"/>
    <w:rPr>
      <w:b/>
      <w:bCs/>
      <w:sz w:val="20"/>
      <w:szCs w:val="20"/>
    </w:rPr>
  </w:style>
  <w:style w:type="character" w:customStyle="1" w:styleId="CommentSubjectChar">
    <w:name w:val="Comment Subject Char"/>
    <w:basedOn w:val="CommentTextChar"/>
    <w:link w:val="CommentSubject"/>
    <w:uiPriority w:val="99"/>
    <w:semiHidden/>
    <w:rsid w:val="00DB03C9"/>
    <w:rPr>
      <w:rFonts w:ascii="Arial" w:hAnsi="Arial"/>
      <w:b/>
      <w:bCs/>
      <w:sz w:val="20"/>
      <w:szCs w:val="20"/>
    </w:rPr>
  </w:style>
  <w:style w:type="paragraph" w:customStyle="1" w:styleId="CRNormalBody">
    <w:name w:val="CR_Normal Body"/>
    <w:basedOn w:val="Normal"/>
    <w:link w:val="CRNormalBodyChar"/>
    <w:qFormat/>
    <w:rsid w:val="00DB03C9"/>
    <w:pPr>
      <w:spacing w:before="120" w:after="100"/>
    </w:pPr>
    <w:rPr>
      <w:sz w:val="22"/>
      <w:szCs w:val="20"/>
      <w:lang w:val="en"/>
    </w:rPr>
  </w:style>
  <w:style w:type="paragraph" w:customStyle="1" w:styleId="BulletList">
    <w:name w:val="BulletList"/>
    <w:basedOn w:val="BalloonText"/>
    <w:link w:val="BulletListChar"/>
    <w:qFormat/>
    <w:rsid w:val="00DB03C9"/>
    <w:pPr>
      <w:widowControl w:val="0"/>
      <w:numPr>
        <w:numId w:val="16"/>
      </w:numPr>
      <w:overflowPunct w:val="0"/>
      <w:autoSpaceDE w:val="0"/>
      <w:autoSpaceDN w:val="0"/>
      <w:adjustRightInd w:val="0"/>
      <w:spacing w:before="0" w:line="276" w:lineRule="auto"/>
      <w:ind w:left="288" w:hanging="144"/>
      <w:textAlignment w:val="baseline"/>
    </w:pPr>
    <w:rPr>
      <w:rFonts w:ascii="Arial" w:eastAsia="Times New Roman" w:hAnsi="Arial" w:cs="Arial"/>
      <w:sz w:val="22"/>
      <w:szCs w:val="22"/>
    </w:rPr>
  </w:style>
  <w:style w:type="character" w:customStyle="1" w:styleId="BulletListChar">
    <w:name w:val="BulletList Char"/>
    <w:basedOn w:val="DefaultParagraphFont"/>
    <w:link w:val="BulletList"/>
    <w:rsid w:val="00DB03C9"/>
    <w:rPr>
      <w:rFonts w:ascii="Arial" w:eastAsia="Times New Roman" w:hAnsi="Arial" w:cs="Arial"/>
    </w:rPr>
  </w:style>
  <w:style w:type="character" w:customStyle="1" w:styleId="CRNormalBodyChar">
    <w:name w:val="CR_Normal Body Char"/>
    <w:basedOn w:val="DefaultParagraphFont"/>
    <w:link w:val="CRNormalBody"/>
    <w:rsid w:val="00DB03C9"/>
    <w:rPr>
      <w:rFonts w:ascii="Arial" w:hAnsi="Arial"/>
      <w:szCs w:val="20"/>
      <w:lang w:val="en"/>
    </w:rPr>
  </w:style>
  <w:style w:type="character" w:customStyle="1" w:styleId="ListParagraphChar">
    <w:name w:val="List Paragraph Char"/>
    <w:aliases w:val="PECI Bullets (Content) Char"/>
    <w:link w:val="ListParagraph"/>
    <w:uiPriority w:val="34"/>
    <w:rsid w:val="00DB03C9"/>
    <w:rPr>
      <w:rFonts w:ascii="Arial" w:hAnsi="Arial"/>
      <w:sz w:val="18"/>
    </w:rPr>
  </w:style>
  <w:style w:type="paragraph" w:customStyle="1" w:styleId="CRTableBullet1">
    <w:name w:val="CR_Table Bullet 1"/>
    <w:basedOn w:val="ListBullet"/>
    <w:qFormat/>
    <w:rsid w:val="00DB03C9"/>
    <w:pPr>
      <w:numPr>
        <w:numId w:val="0"/>
      </w:numPr>
      <w:spacing w:line="240" w:lineRule="auto"/>
      <w:ind w:left="1080" w:hanging="360"/>
    </w:pPr>
    <w:rPr>
      <w:rFonts w:eastAsia="Arial" w:cs="Times New Roman"/>
      <w:sz w:val="20"/>
      <w:szCs w:val="16"/>
    </w:rPr>
  </w:style>
  <w:style w:type="table" w:customStyle="1" w:styleId="TableGrid11">
    <w:name w:val="TableGrid1"/>
    <w:rsid w:val="00DB03C9"/>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rsid w:val="00DB03C9"/>
    <w:rPr>
      <w:color w:val="605E5C"/>
      <w:shd w:val="clear" w:color="auto" w:fill="E1DFDD"/>
    </w:rPr>
  </w:style>
  <w:style w:type="character" w:styleId="Mention">
    <w:name w:val="Mention"/>
    <w:basedOn w:val="DefaultParagraphFont"/>
    <w:uiPriority w:val="99"/>
    <w:unhideWhenUsed/>
    <w:rsid w:val="00DB03C9"/>
    <w:rPr>
      <w:color w:val="2B579A"/>
      <w:shd w:val="clear" w:color="auto" w:fill="E1DFDD"/>
    </w:rPr>
  </w:style>
  <w:style w:type="paragraph" w:styleId="Revision">
    <w:name w:val="Revision"/>
    <w:hidden/>
    <w:uiPriority w:val="99"/>
    <w:semiHidden/>
    <w:rsid w:val="00DB03C9"/>
    <w:pPr>
      <w:spacing w:after="0" w:line="240" w:lineRule="auto"/>
    </w:pPr>
    <w:rPr>
      <w:rFonts w:ascii="Arial" w:hAnsi="Arial"/>
      <w:sz w:val="20"/>
    </w:rPr>
  </w:style>
  <w:style w:type="paragraph" w:customStyle="1" w:styleId="StyleClauseBody">
    <w:name w:val="Style Clause Body"/>
    <w:basedOn w:val="Normal"/>
    <w:qFormat/>
    <w:rsid w:val="00150E57"/>
    <w:pPr>
      <w:spacing w:before="0" w:after="200"/>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9589">
      <w:bodyDiv w:val="1"/>
      <w:marLeft w:val="0"/>
      <w:marRight w:val="0"/>
      <w:marTop w:val="0"/>
      <w:marBottom w:val="0"/>
      <w:divBdr>
        <w:top w:val="none" w:sz="0" w:space="0" w:color="auto"/>
        <w:left w:val="none" w:sz="0" w:space="0" w:color="auto"/>
        <w:bottom w:val="none" w:sz="0" w:space="0" w:color="auto"/>
        <w:right w:val="none" w:sz="0" w:space="0" w:color="auto"/>
      </w:divBdr>
    </w:div>
    <w:div w:id="704788992">
      <w:bodyDiv w:val="1"/>
      <w:marLeft w:val="0"/>
      <w:marRight w:val="0"/>
      <w:marTop w:val="0"/>
      <w:marBottom w:val="0"/>
      <w:divBdr>
        <w:top w:val="none" w:sz="0" w:space="0" w:color="auto"/>
        <w:left w:val="none" w:sz="0" w:space="0" w:color="auto"/>
        <w:bottom w:val="none" w:sz="0" w:space="0" w:color="auto"/>
        <w:right w:val="none" w:sz="0" w:space="0" w:color="auto"/>
      </w:divBdr>
    </w:div>
    <w:div w:id="1024593453">
      <w:bodyDiv w:val="1"/>
      <w:marLeft w:val="0"/>
      <w:marRight w:val="0"/>
      <w:marTop w:val="0"/>
      <w:marBottom w:val="0"/>
      <w:divBdr>
        <w:top w:val="none" w:sz="0" w:space="0" w:color="auto"/>
        <w:left w:val="none" w:sz="0" w:space="0" w:color="auto"/>
        <w:bottom w:val="none" w:sz="0" w:space="0" w:color="auto"/>
        <w:right w:val="none" w:sz="0" w:space="0" w:color="auto"/>
      </w:divBdr>
    </w:div>
    <w:div w:id="1036587987">
      <w:bodyDiv w:val="1"/>
      <w:marLeft w:val="0"/>
      <w:marRight w:val="0"/>
      <w:marTop w:val="0"/>
      <w:marBottom w:val="0"/>
      <w:divBdr>
        <w:top w:val="none" w:sz="0" w:space="0" w:color="auto"/>
        <w:left w:val="none" w:sz="0" w:space="0" w:color="auto"/>
        <w:bottom w:val="none" w:sz="0" w:space="0" w:color="auto"/>
        <w:right w:val="none" w:sz="0" w:space="0" w:color="auto"/>
      </w:divBdr>
      <w:divsChild>
        <w:div w:id="1690175306">
          <w:marLeft w:val="0"/>
          <w:marRight w:val="0"/>
          <w:marTop w:val="0"/>
          <w:marBottom w:val="0"/>
          <w:divBdr>
            <w:top w:val="none" w:sz="0" w:space="0" w:color="auto"/>
            <w:left w:val="none" w:sz="0" w:space="0" w:color="auto"/>
            <w:bottom w:val="none" w:sz="0" w:space="0" w:color="auto"/>
            <w:right w:val="none" w:sz="0" w:space="0" w:color="auto"/>
          </w:divBdr>
          <w:divsChild>
            <w:div w:id="53971092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21801151">
      <w:bodyDiv w:val="1"/>
      <w:marLeft w:val="0"/>
      <w:marRight w:val="0"/>
      <w:marTop w:val="0"/>
      <w:marBottom w:val="0"/>
      <w:divBdr>
        <w:top w:val="none" w:sz="0" w:space="0" w:color="auto"/>
        <w:left w:val="none" w:sz="0" w:space="0" w:color="auto"/>
        <w:bottom w:val="none" w:sz="0" w:space="0" w:color="auto"/>
        <w:right w:val="none" w:sz="0" w:space="0" w:color="auto"/>
      </w:divBdr>
    </w:div>
    <w:div w:id="1314916204">
      <w:bodyDiv w:val="1"/>
      <w:marLeft w:val="0"/>
      <w:marRight w:val="0"/>
      <w:marTop w:val="0"/>
      <w:marBottom w:val="0"/>
      <w:divBdr>
        <w:top w:val="none" w:sz="0" w:space="0" w:color="auto"/>
        <w:left w:val="none" w:sz="0" w:space="0" w:color="auto"/>
        <w:bottom w:val="none" w:sz="0" w:space="0" w:color="auto"/>
        <w:right w:val="none" w:sz="0" w:space="0" w:color="auto"/>
      </w:divBdr>
      <w:divsChild>
        <w:div w:id="1503396736">
          <w:marLeft w:val="0"/>
          <w:marRight w:val="0"/>
          <w:marTop w:val="0"/>
          <w:marBottom w:val="0"/>
          <w:divBdr>
            <w:top w:val="none" w:sz="0" w:space="0" w:color="auto"/>
            <w:left w:val="none" w:sz="0" w:space="0" w:color="auto"/>
            <w:bottom w:val="none" w:sz="0" w:space="0" w:color="auto"/>
            <w:right w:val="none" w:sz="0" w:space="0" w:color="auto"/>
          </w:divBdr>
          <w:divsChild>
            <w:div w:id="18555364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10164905">
      <w:bodyDiv w:val="1"/>
      <w:marLeft w:val="0"/>
      <w:marRight w:val="0"/>
      <w:marTop w:val="0"/>
      <w:marBottom w:val="0"/>
      <w:divBdr>
        <w:top w:val="none" w:sz="0" w:space="0" w:color="auto"/>
        <w:left w:val="none" w:sz="0" w:space="0" w:color="auto"/>
        <w:bottom w:val="none" w:sz="0" w:space="0" w:color="auto"/>
        <w:right w:val="none" w:sz="0" w:space="0" w:color="auto"/>
      </w:divBdr>
      <w:divsChild>
        <w:div w:id="1748259795">
          <w:marLeft w:val="0"/>
          <w:marRight w:val="0"/>
          <w:marTop w:val="0"/>
          <w:marBottom w:val="0"/>
          <w:divBdr>
            <w:top w:val="none" w:sz="0" w:space="0" w:color="auto"/>
            <w:left w:val="none" w:sz="0" w:space="0" w:color="auto"/>
            <w:bottom w:val="none" w:sz="0" w:space="0" w:color="auto"/>
            <w:right w:val="none" w:sz="0" w:space="0" w:color="auto"/>
          </w:divBdr>
          <w:divsChild>
            <w:div w:id="11697538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0295247">
      <w:bodyDiv w:val="1"/>
      <w:marLeft w:val="0"/>
      <w:marRight w:val="0"/>
      <w:marTop w:val="0"/>
      <w:marBottom w:val="0"/>
      <w:divBdr>
        <w:top w:val="none" w:sz="0" w:space="0" w:color="auto"/>
        <w:left w:val="none" w:sz="0" w:space="0" w:color="auto"/>
        <w:bottom w:val="none" w:sz="0" w:space="0" w:color="auto"/>
        <w:right w:val="none" w:sz="0" w:space="0" w:color="auto"/>
      </w:divBdr>
      <w:divsChild>
        <w:div w:id="1844084080">
          <w:marLeft w:val="0"/>
          <w:marRight w:val="0"/>
          <w:marTop w:val="0"/>
          <w:marBottom w:val="0"/>
          <w:divBdr>
            <w:top w:val="none" w:sz="0" w:space="0" w:color="auto"/>
            <w:left w:val="none" w:sz="0" w:space="0" w:color="auto"/>
            <w:bottom w:val="none" w:sz="0" w:space="0" w:color="auto"/>
            <w:right w:val="none" w:sz="0" w:space="0" w:color="auto"/>
          </w:divBdr>
          <w:divsChild>
            <w:div w:id="21115128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eresources.net/workpap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shima\Downloads\CR%20-%20Report%20Template%20-%20opt%201%20(1).dotx" TargetMode="External"/></Relationships>
</file>

<file path=word/theme/theme1.xml><?xml version="1.0" encoding="utf-8"?>
<a:theme xmlns:a="http://schemas.openxmlformats.org/drawingml/2006/main" name="CLEAResult_Business_Theme">
  <a:themeElements>
    <a:clrScheme name="CLEAResult Business Color Palette">
      <a:dk1>
        <a:sysClr val="windowText" lastClr="000000"/>
      </a:dk1>
      <a:lt1>
        <a:sysClr val="window" lastClr="FFFFFF"/>
      </a:lt1>
      <a:dk2>
        <a:srgbClr val="054B56"/>
      </a:dk2>
      <a:lt2>
        <a:srgbClr val="FFFFFF"/>
      </a:lt2>
      <a:accent1>
        <a:srgbClr val="054B56"/>
      </a:accent1>
      <a:accent2>
        <a:srgbClr val="007299"/>
      </a:accent2>
      <a:accent3>
        <a:srgbClr val="404040"/>
      </a:accent3>
      <a:accent4>
        <a:srgbClr val="92B7BC"/>
      </a:accent4>
      <a:accent5>
        <a:srgbClr val="EFE9E5"/>
      </a:accent5>
      <a:accent6>
        <a:srgbClr val="F50000"/>
      </a:accent6>
      <a:hlink>
        <a:srgbClr val="007299"/>
      </a:hlink>
      <a:folHlink>
        <a:srgbClr val="92B7B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7E4F3B8CF45241A70EFC062F69A44B" ma:contentTypeVersion="6" ma:contentTypeDescription="Create a new document." ma:contentTypeScope="" ma:versionID="36ef1d2f277390b76582fd2bb3196c58">
  <xsd:schema xmlns:xsd="http://www.w3.org/2001/XMLSchema" xmlns:xs="http://www.w3.org/2001/XMLSchema" xmlns:p="http://schemas.microsoft.com/office/2006/metadata/properties" xmlns:ns2="22b0ca75-ee67-4176-96c2-596a665bde98" xmlns:ns3="3bd57e9f-8dd8-4ae3-ba34-af53514a683b" targetNamespace="http://schemas.microsoft.com/office/2006/metadata/properties" ma:root="true" ma:fieldsID="75ba5179cfa442ae3785480823525684" ns2:_="" ns3:_="">
    <xsd:import namespace="22b0ca75-ee67-4176-96c2-596a665bde98"/>
    <xsd:import namespace="3bd57e9f-8dd8-4ae3-ba34-af53514a6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0ca75-ee67-4176-96c2-596a665bd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57e9f-8dd8-4ae3-ba34-af53514a68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FA2CF-12A6-4C97-8453-AD7BA4E45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3B6AF-AD32-4FF2-8842-BE8C6B8E9CC3}">
  <ds:schemaRefs>
    <ds:schemaRef ds:uri="http://schemas.microsoft.com/sharepoint/v3/contenttype/forms"/>
  </ds:schemaRefs>
</ds:datastoreItem>
</file>

<file path=customXml/itemProps3.xml><?xml version="1.0" encoding="utf-8"?>
<ds:datastoreItem xmlns:ds="http://schemas.openxmlformats.org/officeDocument/2006/customXml" ds:itemID="{5CE72B2B-B46A-4741-8199-AB6A9F782F17}">
  <ds:schemaRefs>
    <ds:schemaRef ds:uri="http://schemas.openxmlformats.org/officeDocument/2006/bibliography"/>
  </ds:schemaRefs>
</ds:datastoreItem>
</file>

<file path=customXml/itemProps4.xml><?xml version="1.0" encoding="utf-8"?>
<ds:datastoreItem xmlns:ds="http://schemas.openxmlformats.org/officeDocument/2006/customXml" ds:itemID="{184CE76C-7AEF-4FD9-8621-E02985BE5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0ca75-ee67-4176-96c2-596a665bde98"/>
    <ds:schemaRef ds:uri="3bd57e9f-8dd8-4ae3-ba34-af53514a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CR - Report Template - opt 1 (1)</Template>
  <TotalTime>90</TotalTime>
  <Pages>16</Pages>
  <Words>6146</Words>
  <Characters>35038</Characters>
  <Application>Microsoft Office Word</Application>
  <DocSecurity>0</DocSecurity>
  <Lines>291</Lines>
  <Paragraphs>82</Paragraphs>
  <ScaleCrop>false</ScaleCrop>
  <Company/>
  <LinksUpToDate>false</LinksUpToDate>
  <CharactersWithSpaces>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CR-Report-Template-C+I</dc:title>
  <dc:subject/>
  <dc:creator>Michelle Tashima</dc:creator>
  <cp:keywords/>
  <cp:lastModifiedBy>Laura Freiburg-Slate</cp:lastModifiedBy>
  <cp:revision>374</cp:revision>
  <cp:lastPrinted>2013-11-21T01:22:00Z</cp:lastPrinted>
  <dcterms:created xsi:type="dcterms:W3CDTF">2020-10-26T18:51:00Z</dcterms:created>
  <dcterms:modified xsi:type="dcterms:W3CDTF">2020-12-01T02:52:00Z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0x010100857E4F3B8CF45241A70EFC062F69A44B</vt:lpwstr>
  </property>
</Properties>
</file>