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522554547"/>
    <w:bookmarkStart w:id="1" w:name="_GoBack"/>
    <w:bookmarkEnd w:id="1"/>
    <w:p w14:paraId="42CAC7C5" w14:textId="77777777" w:rsidR="00065242" w:rsidRPr="00CA4E4C" w:rsidRDefault="00EA7F6A">
      <w:pPr>
        <w:pStyle w:val="Heading5"/>
        <w:tabs>
          <w:tab w:val="left" w:pos="4770"/>
        </w:tabs>
        <w:rPr>
          <w:rFonts w:cs="Arial"/>
          <w:b w:val="0"/>
          <w:color w:val="auto"/>
        </w:rPr>
      </w:pPr>
      <w:r w:rsidRPr="00CA4E4C">
        <w:rPr>
          <w:rFonts w:cs="Arial"/>
          <w:noProof/>
        </w:rPr>
        <mc:AlternateContent>
          <mc:Choice Requires="wps">
            <w:drawing>
              <wp:anchor distT="0" distB="0" distL="114300" distR="114300" simplePos="0" relativeHeight="251658240" behindDoc="0" locked="0" layoutInCell="0" allowOverlap="1" wp14:anchorId="3A0C495B" wp14:editId="04670220">
                <wp:simplePos x="0" y="0"/>
                <wp:positionH relativeFrom="column">
                  <wp:posOffset>4166235</wp:posOffset>
                </wp:positionH>
                <wp:positionV relativeFrom="paragraph">
                  <wp:posOffset>62230</wp:posOffset>
                </wp:positionV>
                <wp:extent cx="1897380" cy="1189990"/>
                <wp:effectExtent l="0" t="0" r="0" b="0"/>
                <wp:wrapNone/>
                <wp:docPr id="1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7380" cy="1189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980A30" w14:textId="77777777" w:rsidR="00C53F61" w:rsidRPr="0092105C" w:rsidRDefault="00C53F61" w:rsidP="002A505A">
                            <w:pPr>
                              <w:jc w:val="right"/>
                              <w:rPr>
                                <w:color w:val="FF0000"/>
                                <w:sz w:val="16"/>
                                <w:lang w:val="es-ES"/>
                              </w:rPr>
                            </w:pPr>
                            <w:r>
                              <w:rPr>
                                <w:color w:val="FF0000"/>
                                <w:sz w:val="16"/>
                                <w:lang w:val="es-ES"/>
                              </w:rPr>
                              <w:t>Clay Faber - Director</w:t>
                            </w:r>
                          </w:p>
                          <w:p w14:paraId="52CB9560" w14:textId="77777777" w:rsidR="00C53F61" w:rsidRPr="0092105C" w:rsidRDefault="00C53F61" w:rsidP="002A505A">
                            <w:pPr>
                              <w:jc w:val="right"/>
                              <w:rPr>
                                <w:color w:val="000080"/>
                                <w:sz w:val="16"/>
                                <w:lang w:val="es-ES"/>
                              </w:rPr>
                            </w:pPr>
                            <w:r>
                              <w:rPr>
                                <w:color w:val="000080"/>
                                <w:sz w:val="16"/>
                                <w:lang w:val="es-ES"/>
                              </w:rPr>
                              <w:t xml:space="preserve">CA &amp; Federal </w:t>
                            </w:r>
                            <w:r w:rsidRPr="000152AC">
                              <w:rPr>
                                <w:color w:val="000080"/>
                                <w:sz w:val="16"/>
                              </w:rPr>
                              <w:t>Regulatory</w:t>
                            </w:r>
                          </w:p>
                          <w:p w14:paraId="672E57B8" w14:textId="77777777" w:rsidR="00C53F61" w:rsidRDefault="00C53F61" w:rsidP="002A505A">
                            <w:pPr>
                              <w:jc w:val="right"/>
                              <w:rPr>
                                <w:color w:val="000080"/>
                                <w:sz w:val="16"/>
                              </w:rPr>
                            </w:pPr>
                            <w:r>
                              <w:rPr>
                                <w:color w:val="000080"/>
                                <w:sz w:val="16"/>
                              </w:rPr>
                              <w:t>8330 Century Park Court</w:t>
                            </w:r>
                          </w:p>
                          <w:p w14:paraId="77E8117F" w14:textId="77777777" w:rsidR="00C53F61" w:rsidRDefault="00C53F61" w:rsidP="002A505A">
                            <w:pPr>
                              <w:jc w:val="right"/>
                              <w:rPr>
                                <w:color w:val="000080"/>
                                <w:sz w:val="16"/>
                              </w:rPr>
                            </w:pPr>
                            <w:r>
                              <w:rPr>
                                <w:color w:val="000080"/>
                                <w:sz w:val="16"/>
                              </w:rPr>
                              <w:t>San Diego, CA 92123-1548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0C495B" id="_x0000_t202" coordsize="21600,21600" o:spt="202" path="m,l,21600r21600,l21600,xe">
                <v:stroke joinstyle="miter"/>
                <v:path gradientshapeok="t" o:connecttype="rect"/>
              </v:shapetype>
              <v:shape id="Text Box 3" o:spid="_x0000_s1026" type="#_x0000_t202" style="position:absolute;margin-left:328.05pt;margin-top:4.9pt;width:149.4pt;height:93.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" o:allowincell="f" filled="f" stroked="f">
                <v:textbox>
                  <w:txbxContent>
                    <w:p w14:paraId="3B980A30" w14:textId="77777777" w:rsidR="00C53F61" w:rsidRPr="0092105C" w:rsidRDefault="00C53F61" w:rsidP="002A505A">
                      <w:pPr>
                        <w:jc w:val="right"/>
                        <w:rPr>
                          <w:color w:val="FF0000"/>
                          <w:sz w:val="16"/>
                          <w:lang w:val="es-ES"/>
                        </w:rPr>
                      </w:pPr>
                      <w:r>
                        <w:rPr>
                          <w:color w:val="FF0000"/>
                          <w:sz w:val="16"/>
                          <w:lang w:val="es-ES"/>
                        </w:rPr>
                        <w:t xml:space="preserve">Clay Faber - </w:t>
                      </w:r>
                      <w:proofErr w:type="gramStart"/>
                      <w:r>
                        <w:rPr>
                          <w:color w:val="FF0000"/>
                          <w:sz w:val="16"/>
                          <w:lang w:val="es-ES"/>
                        </w:rPr>
                        <w:t>Director</w:t>
                      </w:r>
                      <w:proofErr w:type="gramEnd"/>
                    </w:p>
                    <w:p w14:paraId="52CB9560" w14:textId="77777777" w:rsidR="00C53F61" w:rsidRPr="0092105C" w:rsidRDefault="00C53F61" w:rsidP="002A505A">
                      <w:pPr>
                        <w:jc w:val="right"/>
                        <w:rPr>
                          <w:color w:val="000080"/>
                          <w:sz w:val="16"/>
                          <w:lang w:val="es-ES"/>
                        </w:rPr>
                      </w:pPr>
                      <w:r>
                        <w:rPr>
                          <w:color w:val="000080"/>
                          <w:sz w:val="16"/>
                          <w:lang w:val="es-ES"/>
                        </w:rPr>
                        <w:t xml:space="preserve">CA &amp; Federal </w:t>
                      </w:r>
                      <w:r w:rsidRPr="000152AC">
                        <w:rPr>
                          <w:color w:val="000080"/>
                          <w:sz w:val="16"/>
                        </w:rPr>
                        <w:t>Regulatory</w:t>
                      </w:r>
                    </w:p>
                    <w:p w14:paraId="672E57B8" w14:textId="77777777" w:rsidR="00C53F61" w:rsidRDefault="00C53F61" w:rsidP="002A505A">
                      <w:pPr>
                        <w:jc w:val="right"/>
                        <w:rPr>
                          <w:color w:val="000080"/>
                          <w:sz w:val="16"/>
                        </w:rPr>
                      </w:pPr>
                      <w:r>
                        <w:rPr>
                          <w:color w:val="000080"/>
                          <w:sz w:val="16"/>
                        </w:rPr>
                        <w:t>8330 Century Park Court</w:t>
                      </w:r>
                    </w:p>
                    <w:p w14:paraId="77E8117F" w14:textId="77777777" w:rsidR="00C53F61" w:rsidRDefault="00C53F61" w:rsidP="002A505A">
                      <w:pPr>
                        <w:jc w:val="right"/>
                        <w:rPr>
                          <w:color w:val="000080"/>
                          <w:sz w:val="16"/>
                        </w:rPr>
                      </w:pPr>
                      <w:r>
                        <w:rPr>
                          <w:color w:val="000080"/>
                          <w:sz w:val="16"/>
                        </w:rPr>
                        <w:t>San Diego, CA 92123-1548</w:t>
                      </w:r>
                    </w:p>
                  </w:txbxContent>
                </v:textbox>
              </v:shape>
            </w:pict>
          </mc:Fallback>
        </mc:AlternateContent>
      </w:r>
      <w:r w:rsidRPr="00CA4E4C">
        <w:rPr>
          <w:rFonts w:cs="Arial"/>
          <w:noProof/>
        </w:rPr>
        <w:drawing>
          <wp:inline distT="0" distB="0" distL="0" distR="0" wp14:anchorId="7EC945D6" wp14:editId="0A891623">
            <wp:extent cx="2171700" cy="1028065"/>
            <wp:effectExtent l="0" t="0" r="0" b="0"/>
            <wp:docPr id="6" name="Picture 1" descr="sdlmc3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dlmc3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71700" cy="1028065"/>
                    </a:xfrm>
                    <a:prstGeom prst="rect">
                      <a:avLst/>
                    </a:prstGeom>
                    <a:noFill/>
                    <a:ln>
                      <a:noFill/>
                    </a:ln>
                  </pic:spPr>
                </pic:pic>
              </a:graphicData>
            </a:graphic>
          </wp:inline>
        </w:drawing>
      </w:r>
      <w:r w:rsidR="00065242" w:rsidRPr="00CA4E4C">
        <w:rPr>
          <w:rFonts w:cs="Arial"/>
          <w:b w:val="0"/>
          <w:color w:val="auto"/>
        </w:rPr>
        <w:t xml:space="preserve"> </w:t>
      </w:r>
    </w:p>
    <w:p w14:paraId="785E98F2" w14:textId="77777777" w:rsidR="00065242" w:rsidRPr="00CA4E4C" w:rsidRDefault="00065242">
      <w:pPr>
        <w:pStyle w:val="Heading5"/>
        <w:tabs>
          <w:tab w:val="left" w:pos="4770"/>
        </w:tabs>
        <w:rPr>
          <w:rFonts w:cs="Arial"/>
          <w:b w:val="0"/>
          <w:color w:val="auto"/>
        </w:rPr>
      </w:pPr>
    </w:p>
    <w:p w14:paraId="601E6796" w14:textId="77777777" w:rsidR="009C67CB" w:rsidRPr="00CA4E4C" w:rsidRDefault="00065242">
      <w:pPr>
        <w:pStyle w:val="Heading5"/>
        <w:tabs>
          <w:tab w:val="left" w:pos="4050"/>
          <w:tab w:val="left" w:pos="4770"/>
        </w:tabs>
        <w:rPr>
          <w:rFonts w:cs="Arial"/>
          <w:b w:val="0"/>
          <w:color w:val="auto"/>
        </w:rPr>
      </w:pPr>
      <w:r w:rsidRPr="00CA4E4C">
        <w:rPr>
          <w:rFonts w:cs="Arial"/>
          <w:b w:val="0"/>
          <w:color w:val="auto"/>
        </w:rPr>
        <w:tab/>
      </w:r>
      <w:r w:rsidRPr="00CA4E4C">
        <w:rPr>
          <w:rFonts w:cs="Arial"/>
          <w:b w:val="0"/>
          <w:color w:val="auto"/>
        </w:rPr>
        <w:tab/>
      </w:r>
    </w:p>
    <w:p w14:paraId="0978C016" w14:textId="77777777" w:rsidR="002824CB" w:rsidRPr="00CA4E4C" w:rsidRDefault="002824CB" w:rsidP="002824CB">
      <w:pPr>
        <w:rPr>
          <w:rFonts w:cs="Arial"/>
        </w:rPr>
      </w:pPr>
    </w:p>
    <w:p w14:paraId="786DB041" w14:textId="34FD3888" w:rsidR="00D661DC" w:rsidRPr="00CA4E4C" w:rsidRDefault="00E35DF5" w:rsidP="005E2FE1">
      <w:pPr>
        <w:tabs>
          <w:tab w:val="left" w:pos="4320"/>
        </w:tabs>
        <w:autoSpaceDE w:val="0"/>
        <w:autoSpaceDN w:val="0"/>
        <w:adjustRightInd w:val="0"/>
        <w:spacing w:before="31"/>
        <w:ind w:firstLine="4320"/>
        <w:rPr>
          <w:rFonts w:cs="Arial"/>
          <w:color w:val="000000"/>
          <w:szCs w:val="22"/>
        </w:rPr>
      </w:pPr>
      <w:r w:rsidRPr="00CA4E4C">
        <w:rPr>
          <w:rFonts w:cs="Arial"/>
          <w:color w:val="000000"/>
          <w:szCs w:val="22"/>
        </w:rPr>
        <w:t xml:space="preserve">September </w:t>
      </w:r>
      <w:r w:rsidR="000142CF" w:rsidRPr="00CA4E4C">
        <w:rPr>
          <w:rFonts w:cs="Arial"/>
          <w:color w:val="000000"/>
          <w:szCs w:val="22"/>
        </w:rPr>
        <w:t>3</w:t>
      </w:r>
      <w:r w:rsidRPr="00CA4E4C">
        <w:rPr>
          <w:rFonts w:cs="Arial"/>
          <w:color w:val="000000"/>
          <w:szCs w:val="22"/>
        </w:rPr>
        <w:t>, 201</w:t>
      </w:r>
      <w:r w:rsidR="000142CF" w:rsidRPr="00CA4E4C">
        <w:rPr>
          <w:rFonts w:cs="Arial"/>
          <w:color w:val="000000"/>
          <w:szCs w:val="22"/>
        </w:rPr>
        <w:t>9</w:t>
      </w:r>
    </w:p>
    <w:p w14:paraId="230FAA85" w14:textId="77777777" w:rsidR="007535B3" w:rsidRPr="00CA4E4C" w:rsidRDefault="007535B3" w:rsidP="007535B3">
      <w:pPr>
        <w:rPr>
          <w:rFonts w:cs="Arial"/>
          <w:szCs w:val="22"/>
        </w:rPr>
      </w:pPr>
    </w:p>
    <w:p w14:paraId="2B0D825D" w14:textId="7CDE498E" w:rsidR="007535B3" w:rsidRPr="00CA4E4C" w:rsidRDefault="00D661DC" w:rsidP="007535B3">
      <w:pPr>
        <w:autoSpaceDE w:val="0"/>
        <w:autoSpaceDN w:val="0"/>
        <w:adjustRightInd w:val="0"/>
        <w:ind w:right="-20"/>
        <w:rPr>
          <w:rFonts w:cs="Arial"/>
          <w:color w:val="000000"/>
          <w:szCs w:val="22"/>
        </w:rPr>
      </w:pPr>
      <w:r w:rsidRPr="00CA4E4C">
        <w:rPr>
          <w:rFonts w:cs="Arial"/>
          <w:b/>
          <w:bCs/>
          <w:color w:val="000000"/>
          <w:szCs w:val="22"/>
        </w:rPr>
        <w:t>ADVICE LETTER</w:t>
      </w:r>
      <w:r w:rsidR="00476A13" w:rsidRPr="00CA4E4C">
        <w:rPr>
          <w:rFonts w:cs="Arial"/>
          <w:b/>
          <w:color w:val="000000"/>
          <w:szCs w:val="22"/>
        </w:rPr>
        <w:t xml:space="preserve"> </w:t>
      </w:r>
      <w:r w:rsidR="00D761CA" w:rsidRPr="00CA4E4C">
        <w:rPr>
          <w:rFonts w:cs="Arial"/>
          <w:b/>
          <w:szCs w:val="22"/>
          <w:highlight w:val="yellow"/>
        </w:rPr>
        <w:t>xxx-E/xxx/G</w:t>
      </w:r>
    </w:p>
    <w:p w14:paraId="404EFFA7" w14:textId="77777777" w:rsidR="007535B3" w:rsidRPr="00CA4E4C" w:rsidRDefault="007535B3" w:rsidP="007535B3">
      <w:pPr>
        <w:autoSpaceDE w:val="0"/>
        <w:autoSpaceDN w:val="0"/>
        <w:adjustRightInd w:val="0"/>
        <w:ind w:right="-20"/>
        <w:rPr>
          <w:rFonts w:cs="Arial"/>
          <w:color w:val="000000"/>
          <w:szCs w:val="22"/>
        </w:rPr>
      </w:pPr>
      <w:r w:rsidRPr="00CA4E4C">
        <w:rPr>
          <w:rFonts w:cs="Arial"/>
          <w:color w:val="000000"/>
          <w:szCs w:val="22"/>
        </w:rPr>
        <w:t>(San</w:t>
      </w:r>
      <w:r w:rsidRPr="00CA4E4C">
        <w:rPr>
          <w:rFonts w:cs="Arial"/>
          <w:color w:val="000000"/>
          <w:spacing w:val="-5"/>
          <w:szCs w:val="22"/>
        </w:rPr>
        <w:t xml:space="preserve"> </w:t>
      </w:r>
      <w:r w:rsidRPr="00CA4E4C">
        <w:rPr>
          <w:rFonts w:cs="Arial"/>
          <w:color w:val="000000"/>
          <w:szCs w:val="22"/>
        </w:rPr>
        <w:t>Diego</w:t>
      </w:r>
      <w:r w:rsidRPr="00CA4E4C">
        <w:rPr>
          <w:rFonts w:cs="Arial"/>
          <w:color w:val="000000"/>
          <w:spacing w:val="-6"/>
          <w:szCs w:val="22"/>
        </w:rPr>
        <w:t xml:space="preserve"> </w:t>
      </w:r>
      <w:r w:rsidRPr="00CA4E4C">
        <w:rPr>
          <w:rFonts w:cs="Arial"/>
          <w:color w:val="000000"/>
          <w:szCs w:val="22"/>
        </w:rPr>
        <w:t>Gas</w:t>
      </w:r>
      <w:r w:rsidRPr="00CA4E4C">
        <w:rPr>
          <w:rFonts w:cs="Arial"/>
          <w:color w:val="000000"/>
          <w:spacing w:val="-4"/>
          <w:szCs w:val="22"/>
        </w:rPr>
        <w:t xml:space="preserve"> </w:t>
      </w:r>
      <w:r w:rsidRPr="00CA4E4C">
        <w:rPr>
          <w:rFonts w:cs="Arial"/>
          <w:color w:val="000000"/>
          <w:szCs w:val="22"/>
        </w:rPr>
        <w:t>&amp;</w:t>
      </w:r>
      <w:r w:rsidRPr="00CA4E4C">
        <w:rPr>
          <w:rFonts w:cs="Arial"/>
          <w:color w:val="000000"/>
          <w:spacing w:val="-1"/>
          <w:szCs w:val="22"/>
        </w:rPr>
        <w:t xml:space="preserve"> </w:t>
      </w:r>
      <w:r w:rsidRPr="00CA4E4C">
        <w:rPr>
          <w:rFonts w:cs="Arial"/>
          <w:color w:val="000000"/>
          <w:szCs w:val="22"/>
        </w:rPr>
        <w:t>Electric</w:t>
      </w:r>
      <w:r w:rsidRPr="00CA4E4C">
        <w:rPr>
          <w:rFonts w:cs="Arial"/>
          <w:color w:val="000000"/>
          <w:spacing w:val="-7"/>
          <w:szCs w:val="22"/>
        </w:rPr>
        <w:t xml:space="preserve"> </w:t>
      </w:r>
      <w:r w:rsidRPr="00CA4E4C">
        <w:rPr>
          <w:rFonts w:cs="Arial"/>
          <w:color w:val="000000"/>
          <w:szCs w:val="22"/>
        </w:rPr>
        <w:t>Company</w:t>
      </w:r>
      <w:r w:rsidRPr="00CA4E4C">
        <w:rPr>
          <w:rFonts w:cs="Arial"/>
          <w:color w:val="000000"/>
          <w:spacing w:val="-9"/>
          <w:szCs w:val="22"/>
        </w:rPr>
        <w:t xml:space="preserve"> </w:t>
      </w:r>
      <w:r w:rsidRPr="00CA4E4C">
        <w:rPr>
          <w:rFonts w:cs="Arial"/>
          <w:color w:val="000000"/>
          <w:szCs w:val="22"/>
        </w:rPr>
        <w:t>-</w:t>
      </w:r>
      <w:r w:rsidRPr="00CA4E4C">
        <w:rPr>
          <w:rFonts w:cs="Arial"/>
          <w:color w:val="000000"/>
          <w:spacing w:val="-1"/>
          <w:szCs w:val="22"/>
        </w:rPr>
        <w:t xml:space="preserve"> </w:t>
      </w:r>
      <w:r w:rsidR="000152AC" w:rsidRPr="00CA4E4C">
        <w:rPr>
          <w:rFonts w:cs="Arial"/>
          <w:color w:val="000000"/>
          <w:szCs w:val="22"/>
        </w:rPr>
        <w:t xml:space="preserve">U902 </w:t>
      </w:r>
      <w:r w:rsidR="005B674C" w:rsidRPr="00CA4E4C">
        <w:rPr>
          <w:rFonts w:cs="Arial"/>
          <w:color w:val="000000"/>
          <w:szCs w:val="22"/>
        </w:rPr>
        <w:t>M</w:t>
      </w:r>
      <w:r w:rsidRPr="00CA4E4C">
        <w:rPr>
          <w:rFonts w:cs="Arial"/>
          <w:color w:val="000000"/>
          <w:szCs w:val="22"/>
        </w:rPr>
        <w:t>)</w:t>
      </w:r>
    </w:p>
    <w:p w14:paraId="31B289A7" w14:textId="77777777" w:rsidR="007535B3" w:rsidRPr="00CA4E4C" w:rsidRDefault="007535B3" w:rsidP="007535B3">
      <w:pPr>
        <w:autoSpaceDE w:val="0"/>
        <w:autoSpaceDN w:val="0"/>
        <w:adjustRightInd w:val="0"/>
        <w:spacing w:before="4" w:line="260" w:lineRule="exact"/>
        <w:rPr>
          <w:rFonts w:cs="Arial"/>
          <w:color w:val="000000"/>
          <w:szCs w:val="22"/>
        </w:rPr>
      </w:pPr>
    </w:p>
    <w:p w14:paraId="2957994C" w14:textId="77777777" w:rsidR="007535B3" w:rsidRPr="00CA4E4C" w:rsidRDefault="007535B3" w:rsidP="007535B3">
      <w:pPr>
        <w:autoSpaceDE w:val="0"/>
        <w:autoSpaceDN w:val="0"/>
        <w:adjustRightInd w:val="0"/>
        <w:ind w:right="-20"/>
        <w:rPr>
          <w:rFonts w:cs="Arial"/>
          <w:color w:val="000000"/>
          <w:szCs w:val="22"/>
        </w:rPr>
      </w:pPr>
      <w:r w:rsidRPr="00CA4E4C">
        <w:rPr>
          <w:rFonts w:cs="Arial"/>
          <w:color w:val="000000"/>
          <w:szCs w:val="22"/>
        </w:rPr>
        <w:t>Public</w:t>
      </w:r>
      <w:r w:rsidRPr="00CA4E4C">
        <w:rPr>
          <w:rFonts w:cs="Arial"/>
          <w:color w:val="000000"/>
          <w:spacing w:val="-6"/>
          <w:szCs w:val="22"/>
        </w:rPr>
        <w:t xml:space="preserve"> </w:t>
      </w:r>
      <w:r w:rsidRPr="00CA4E4C">
        <w:rPr>
          <w:rFonts w:cs="Arial"/>
          <w:color w:val="000000"/>
          <w:szCs w:val="22"/>
        </w:rPr>
        <w:t>Utilities</w:t>
      </w:r>
      <w:r w:rsidRPr="00CA4E4C">
        <w:rPr>
          <w:rFonts w:cs="Arial"/>
          <w:color w:val="000000"/>
          <w:spacing w:val="-7"/>
          <w:szCs w:val="22"/>
        </w:rPr>
        <w:t xml:space="preserve"> </w:t>
      </w:r>
      <w:r w:rsidRPr="00CA4E4C">
        <w:rPr>
          <w:rFonts w:cs="Arial"/>
          <w:color w:val="000000"/>
          <w:szCs w:val="22"/>
        </w:rPr>
        <w:t>Commission</w:t>
      </w:r>
      <w:r w:rsidRPr="00CA4E4C">
        <w:rPr>
          <w:rFonts w:cs="Arial"/>
          <w:color w:val="000000"/>
          <w:spacing w:val="-12"/>
          <w:szCs w:val="22"/>
        </w:rPr>
        <w:t xml:space="preserve"> </w:t>
      </w:r>
      <w:r w:rsidRPr="00CA4E4C">
        <w:rPr>
          <w:rFonts w:cs="Arial"/>
          <w:color w:val="000000"/>
          <w:szCs w:val="22"/>
        </w:rPr>
        <w:t>of</w:t>
      </w:r>
      <w:r w:rsidRPr="00CA4E4C">
        <w:rPr>
          <w:rFonts w:cs="Arial"/>
          <w:color w:val="000000"/>
          <w:spacing w:val="-2"/>
          <w:szCs w:val="22"/>
        </w:rPr>
        <w:t xml:space="preserve"> </w:t>
      </w:r>
      <w:r w:rsidRPr="00CA4E4C">
        <w:rPr>
          <w:rFonts w:cs="Arial"/>
          <w:color w:val="000000"/>
          <w:szCs w:val="22"/>
        </w:rPr>
        <w:t>the</w:t>
      </w:r>
      <w:r w:rsidRPr="00CA4E4C">
        <w:rPr>
          <w:rFonts w:cs="Arial"/>
          <w:color w:val="000000"/>
          <w:spacing w:val="-3"/>
          <w:szCs w:val="22"/>
        </w:rPr>
        <w:t xml:space="preserve"> </w:t>
      </w:r>
      <w:r w:rsidRPr="00CA4E4C">
        <w:rPr>
          <w:rFonts w:cs="Arial"/>
          <w:color w:val="000000"/>
          <w:szCs w:val="22"/>
        </w:rPr>
        <w:t>State</w:t>
      </w:r>
      <w:r w:rsidRPr="00CA4E4C">
        <w:rPr>
          <w:rFonts w:cs="Arial"/>
          <w:color w:val="000000"/>
          <w:spacing w:val="-5"/>
          <w:szCs w:val="22"/>
        </w:rPr>
        <w:t xml:space="preserve"> </w:t>
      </w:r>
      <w:r w:rsidRPr="00CA4E4C">
        <w:rPr>
          <w:rFonts w:cs="Arial"/>
          <w:color w:val="000000"/>
          <w:szCs w:val="22"/>
        </w:rPr>
        <w:t>of</w:t>
      </w:r>
      <w:r w:rsidRPr="00CA4E4C">
        <w:rPr>
          <w:rFonts w:cs="Arial"/>
          <w:color w:val="000000"/>
          <w:spacing w:val="-2"/>
          <w:szCs w:val="22"/>
        </w:rPr>
        <w:t xml:space="preserve"> </w:t>
      </w:r>
      <w:r w:rsidRPr="00CA4E4C">
        <w:rPr>
          <w:rFonts w:cs="Arial"/>
          <w:color w:val="000000"/>
          <w:szCs w:val="22"/>
        </w:rPr>
        <w:t>California</w:t>
      </w:r>
    </w:p>
    <w:p w14:paraId="20A0B2FB" w14:textId="77777777" w:rsidR="007535B3" w:rsidRPr="00CA4E4C" w:rsidRDefault="007535B3" w:rsidP="007535B3">
      <w:pPr>
        <w:autoSpaceDE w:val="0"/>
        <w:autoSpaceDN w:val="0"/>
        <w:adjustRightInd w:val="0"/>
        <w:spacing w:before="18" w:line="240" w:lineRule="exact"/>
        <w:rPr>
          <w:rFonts w:cs="Arial"/>
          <w:color w:val="000000"/>
          <w:szCs w:val="22"/>
        </w:rPr>
      </w:pPr>
    </w:p>
    <w:p w14:paraId="4FFF0DC4" w14:textId="3DA21EAB" w:rsidR="00D661DC" w:rsidRPr="00CA4E4C" w:rsidRDefault="007535B3" w:rsidP="00D661DC">
      <w:pPr>
        <w:ind w:left="1440" w:hanging="1440"/>
        <w:jc w:val="both"/>
        <w:rPr>
          <w:rFonts w:cs="Arial"/>
          <w:b/>
          <w:color w:val="000000"/>
          <w:szCs w:val="22"/>
        </w:rPr>
      </w:pPr>
      <w:r w:rsidRPr="00CA4E4C">
        <w:rPr>
          <w:rFonts w:cs="Arial"/>
          <w:b/>
          <w:color w:val="000000"/>
          <w:szCs w:val="22"/>
        </w:rPr>
        <w:t>SUBJECT</w:t>
      </w:r>
      <w:r w:rsidRPr="00CA4E4C">
        <w:rPr>
          <w:rFonts w:cs="Arial"/>
          <w:color w:val="000000"/>
          <w:szCs w:val="22"/>
        </w:rPr>
        <w:t>:</w:t>
      </w:r>
      <w:r w:rsidRPr="00CA4E4C">
        <w:rPr>
          <w:rFonts w:cs="Arial"/>
          <w:color w:val="000000"/>
          <w:szCs w:val="22"/>
        </w:rPr>
        <w:tab/>
      </w:r>
      <w:r w:rsidR="00576DDF" w:rsidRPr="00CA4E4C">
        <w:rPr>
          <w:rFonts w:cs="Arial"/>
          <w:b/>
          <w:color w:val="000000"/>
          <w:szCs w:val="22"/>
        </w:rPr>
        <w:t>S</w:t>
      </w:r>
      <w:r w:rsidR="00A65618" w:rsidRPr="00CA4E4C">
        <w:rPr>
          <w:rFonts w:cs="Arial"/>
          <w:b/>
          <w:color w:val="000000"/>
          <w:szCs w:val="22"/>
        </w:rPr>
        <w:t>AN DIEGO GAS AND ELECTRIC</w:t>
      </w:r>
      <w:r w:rsidR="00A370B9" w:rsidRPr="00CA4E4C">
        <w:rPr>
          <w:rFonts w:cs="Arial"/>
          <w:b/>
          <w:color w:val="000000"/>
          <w:szCs w:val="22"/>
        </w:rPr>
        <w:t xml:space="preserve"> COMPANY</w:t>
      </w:r>
      <w:r w:rsidR="00A65618" w:rsidRPr="00CA4E4C">
        <w:rPr>
          <w:rFonts w:cs="Arial"/>
          <w:b/>
          <w:color w:val="000000"/>
          <w:szCs w:val="22"/>
        </w:rPr>
        <w:t xml:space="preserve">’S </w:t>
      </w:r>
      <w:r w:rsidR="00A370B9" w:rsidRPr="00CA4E4C">
        <w:rPr>
          <w:rFonts w:cs="Arial"/>
          <w:b/>
          <w:color w:val="000000"/>
          <w:szCs w:val="22"/>
        </w:rPr>
        <w:t>20</w:t>
      </w:r>
      <w:r w:rsidR="0064007C" w:rsidRPr="00CA4E4C">
        <w:rPr>
          <w:rFonts w:cs="Arial"/>
          <w:b/>
          <w:color w:val="000000"/>
          <w:szCs w:val="22"/>
        </w:rPr>
        <w:t>20</w:t>
      </w:r>
      <w:r w:rsidR="00A370B9" w:rsidRPr="00CA4E4C">
        <w:rPr>
          <w:rFonts w:cs="Arial"/>
          <w:b/>
          <w:color w:val="000000"/>
          <w:szCs w:val="22"/>
        </w:rPr>
        <w:t xml:space="preserve"> ANNUAL ENERGY EFFICIENCY PROGRAM AND PORTFOLIO BUDGET REQUEST</w:t>
      </w:r>
    </w:p>
    <w:p w14:paraId="06BFF618" w14:textId="77777777" w:rsidR="00C427A8" w:rsidRPr="00CA4E4C" w:rsidRDefault="00C427A8" w:rsidP="00D661DC">
      <w:pPr>
        <w:ind w:left="1440" w:hanging="1440"/>
        <w:jc w:val="both"/>
        <w:rPr>
          <w:rFonts w:cs="Arial"/>
          <w:b/>
          <w:color w:val="000000"/>
          <w:szCs w:val="22"/>
        </w:rPr>
      </w:pPr>
    </w:p>
    <w:p w14:paraId="0D509AB0" w14:textId="16A30C67" w:rsidR="00C07B20" w:rsidRPr="00CA4E4C" w:rsidRDefault="00C07B20" w:rsidP="000152AC">
      <w:pPr>
        <w:jc w:val="both"/>
        <w:rPr>
          <w:rFonts w:cs="Arial"/>
          <w:szCs w:val="22"/>
        </w:rPr>
      </w:pPr>
      <w:r w:rsidRPr="00CA4E4C">
        <w:rPr>
          <w:rFonts w:cs="Arial"/>
          <w:szCs w:val="22"/>
        </w:rPr>
        <w:t xml:space="preserve">San Diego Gas &amp; Electric (SDG&amp;E) hereby submits </w:t>
      </w:r>
      <w:r w:rsidR="003A6F33" w:rsidRPr="00CA4E4C">
        <w:rPr>
          <w:rFonts w:cs="Arial"/>
          <w:szCs w:val="22"/>
        </w:rPr>
        <w:t xml:space="preserve">its </w:t>
      </w:r>
      <w:r w:rsidR="00D761CA" w:rsidRPr="00CA4E4C">
        <w:rPr>
          <w:rFonts w:cs="Arial"/>
          <w:szCs w:val="22"/>
        </w:rPr>
        <w:t>2020</w:t>
      </w:r>
      <w:r w:rsidR="00EF6BA2" w:rsidRPr="00CA4E4C">
        <w:rPr>
          <w:rFonts w:cs="Arial"/>
          <w:szCs w:val="22"/>
        </w:rPr>
        <w:t xml:space="preserve"> annual energy efficiency </w:t>
      </w:r>
      <w:r w:rsidR="002050C7" w:rsidRPr="00CA4E4C">
        <w:rPr>
          <w:rFonts w:cs="Arial"/>
          <w:szCs w:val="22"/>
        </w:rPr>
        <w:t xml:space="preserve">(EE) </w:t>
      </w:r>
      <w:r w:rsidR="00EF6BA2" w:rsidRPr="00CA4E4C">
        <w:rPr>
          <w:rFonts w:cs="Arial"/>
          <w:szCs w:val="22"/>
        </w:rPr>
        <w:t xml:space="preserve">program and portfolio budget advice letter </w:t>
      </w:r>
      <w:r w:rsidR="006F020D" w:rsidRPr="00CA4E4C">
        <w:rPr>
          <w:rFonts w:cs="Arial"/>
          <w:szCs w:val="22"/>
        </w:rPr>
        <w:t xml:space="preserve">(ABAL) </w:t>
      </w:r>
      <w:r w:rsidR="00EF6BA2" w:rsidRPr="00CA4E4C">
        <w:rPr>
          <w:rFonts w:cs="Arial"/>
          <w:szCs w:val="22"/>
        </w:rPr>
        <w:t xml:space="preserve">as directed by the </w:t>
      </w:r>
      <w:r w:rsidR="003A6F33" w:rsidRPr="00CA4E4C">
        <w:rPr>
          <w:rFonts w:cs="Arial"/>
          <w:szCs w:val="22"/>
        </w:rPr>
        <w:t xml:space="preserve">California Public Utilities Commission </w:t>
      </w:r>
      <w:r w:rsidR="006154D4" w:rsidRPr="00CA4E4C">
        <w:rPr>
          <w:rFonts w:cs="Arial"/>
          <w:szCs w:val="22"/>
        </w:rPr>
        <w:t xml:space="preserve">(Commission) </w:t>
      </w:r>
      <w:r w:rsidR="001D0053" w:rsidRPr="00CA4E4C">
        <w:rPr>
          <w:rFonts w:cs="Arial"/>
          <w:szCs w:val="22"/>
        </w:rPr>
        <w:t>Decision</w:t>
      </w:r>
      <w:r w:rsidR="00D86367" w:rsidRPr="00CA4E4C">
        <w:rPr>
          <w:rFonts w:cs="Arial"/>
          <w:szCs w:val="22"/>
        </w:rPr>
        <w:t>s</w:t>
      </w:r>
      <w:r w:rsidR="001D0053" w:rsidRPr="00CA4E4C">
        <w:rPr>
          <w:rFonts w:cs="Arial"/>
          <w:szCs w:val="22"/>
        </w:rPr>
        <w:t xml:space="preserve"> (D.)</w:t>
      </w:r>
      <w:r w:rsidR="00D86367" w:rsidRPr="00CA4E4C">
        <w:rPr>
          <w:rFonts w:cs="Arial"/>
          <w:szCs w:val="22"/>
        </w:rPr>
        <w:t>15-</w:t>
      </w:r>
      <w:r w:rsidR="001F7B27" w:rsidRPr="00CA4E4C">
        <w:rPr>
          <w:rFonts w:cs="Arial"/>
          <w:szCs w:val="22"/>
        </w:rPr>
        <w:t>10-028</w:t>
      </w:r>
      <w:r w:rsidR="001F7B27" w:rsidRPr="00CA4E4C">
        <w:rPr>
          <w:rStyle w:val="FootnoteReference"/>
          <w:rFonts w:cs="Arial"/>
          <w:szCs w:val="22"/>
        </w:rPr>
        <w:footnoteReference w:id="2"/>
      </w:r>
      <w:r w:rsidR="006F020D" w:rsidRPr="00CA4E4C">
        <w:rPr>
          <w:rFonts w:cs="Arial"/>
          <w:szCs w:val="22"/>
        </w:rPr>
        <w:t xml:space="preserve"> and D.18-05-041</w:t>
      </w:r>
      <w:r w:rsidR="001F7B27" w:rsidRPr="00CA4E4C">
        <w:rPr>
          <w:rStyle w:val="FootnoteReference"/>
          <w:rFonts w:cs="Arial"/>
          <w:szCs w:val="22"/>
        </w:rPr>
        <w:footnoteReference w:id="3"/>
      </w:r>
      <w:r w:rsidR="001D0053" w:rsidRPr="00CA4E4C">
        <w:rPr>
          <w:rFonts w:cs="Arial"/>
          <w:szCs w:val="22"/>
        </w:rPr>
        <w:t xml:space="preserve">. </w:t>
      </w:r>
      <w:r w:rsidR="003A6F33" w:rsidRPr="00CA4E4C">
        <w:rPr>
          <w:rFonts w:cs="Arial"/>
          <w:szCs w:val="22"/>
        </w:rPr>
        <w:t xml:space="preserve"> </w:t>
      </w:r>
      <w:r w:rsidR="00CA7047" w:rsidRPr="00CA4E4C">
        <w:rPr>
          <w:rFonts w:cs="Arial"/>
          <w:szCs w:val="22"/>
        </w:rPr>
        <w:t xml:space="preserve">All </w:t>
      </w:r>
      <w:r w:rsidRPr="00CA4E4C">
        <w:rPr>
          <w:rFonts w:cs="Arial"/>
          <w:szCs w:val="22"/>
        </w:rPr>
        <w:t xml:space="preserve">necessary supporting documentation </w:t>
      </w:r>
      <w:r w:rsidR="005C41A0" w:rsidRPr="00CA4E4C">
        <w:rPr>
          <w:rFonts w:cs="Arial"/>
          <w:szCs w:val="22"/>
        </w:rPr>
        <w:t>to support the funding request, revenue requirements</w:t>
      </w:r>
      <w:r w:rsidR="00EF46EC">
        <w:rPr>
          <w:rFonts w:cs="Arial"/>
          <w:szCs w:val="22"/>
        </w:rPr>
        <w:t>,</w:t>
      </w:r>
      <w:r w:rsidR="005C41A0" w:rsidRPr="00CA4E4C">
        <w:rPr>
          <w:rFonts w:cs="Arial"/>
          <w:szCs w:val="22"/>
        </w:rPr>
        <w:t xml:space="preserve"> and rate impacts, as </w:t>
      </w:r>
      <w:r w:rsidR="007D3844" w:rsidRPr="00CA4E4C">
        <w:rPr>
          <w:rFonts w:cs="Arial"/>
          <w:szCs w:val="22"/>
        </w:rPr>
        <w:t xml:space="preserve">prescribed by the Energy Division, </w:t>
      </w:r>
      <w:r w:rsidRPr="00CA4E4C">
        <w:rPr>
          <w:rFonts w:cs="Arial"/>
          <w:szCs w:val="22"/>
        </w:rPr>
        <w:t>is incorporated as Appendi</w:t>
      </w:r>
      <w:r w:rsidR="00CA7047" w:rsidRPr="00CA4E4C">
        <w:rPr>
          <w:rFonts w:cs="Arial"/>
          <w:szCs w:val="22"/>
        </w:rPr>
        <w:t>x</w:t>
      </w:r>
      <w:r w:rsidRPr="00CA4E4C">
        <w:rPr>
          <w:rFonts w:cs="Arial"/>
          <w:szCs w:val="22"/>
        </w:rPr>
        <w:t xml:space="preserve"> A</w:t>
      </w:r>
      <w:r w:rsidR="00930BC8" w:rsidRPr="00CA4E4C">
        <w:rPr>
          <w:rFonts w:cs="Arial"/>
          <w:szCs w:val="22"/>
        </w:rPr>
        <w:t xml:space="preserve"> and has been uploaded to CEDARS</w:t>
      </w:r>
      <w:r w:rsidR="002C1B43" w:rsidRPr="00CA4E4C">
        <w:rPr>
          <w:rFonts w:cs="Arial"/>
          <w:szCs w:val="22"/>
        </w:rPr>
        <w:t>.</w:t>
      </w:r>
      <w:r w:rsidR="00930BC8" w:rsidRPr="00CA4E4C">
        <w:rPr>
          <w:rStyle w:val="FootnoteReference"/>
          <w:rFonts w:cs="Arial"/>
          <w:szCs w:val="22"/>
        </w:rPr>
        <w:footnoteReference w:id="4"/>
      </w:r>
      <w:r w:rsidR="006E1A2C" w:rsidRPr="00CA4E4C">
        <w:rPr>
          <w:rFonts w:cs="Arial"/>
          <w:szCs w:val="22"/>
        </w:rPr>
        <w:t xml:space="preserve">  </w:t>
      </w:r>
    </w:p>
    <w:p w14:paraId="684B0C9B" w14:textId="1882D932" w:rsidR="00C07B20" w:rsidRPr="00CA4E4C" w:rsidRDefault="00C07B20" w:rsidP="000152AC">
      <w:pPr>
        <w:pStyle w:val="BodyText"/>
        <w:rPr>
          <w:rFonts w:cs="Arial"/>
          <w:szCs w:val="22"/>
        </w:rPr>
      </w:pPr>
    </w:p>
    <w:p w14:paraId="52DEE54F" w14:textId="23C6AF12" w:rsidR="0047143E" w:rsidRDefault="002E7FE0" w:rsidP="000152AC">
      <w:pPr>
        <w:pStyle w:val="BodyText"/>
        <w:rPr>
          <w:rFonts w:cs="Arial"/>
          <w:szCs w:val="22"/>
        </w:rPr>
      </w:pPr>
      <w:r w:rsidRPr="00CA4E4C">
        <w:rPr>
          <w:rFonts w:cs="Arial"/>
          <w:szCs w:val="22"/>
        </w:rPr>
        <w:t xml:space="preserve">SDG&amp;E makes available all Excel appendices to this </w:t>
      </w:r>
      <w:r w:rsidR="00897E92" w:rsidRPr="00CA4E4C">
        <w:rPr>
          <w:rFonts w:cs="Arial"/>
          <w:szCs w:val="22"/>
        </w:rPr>
        <w:t>ABAL</w:t>
      </w:r>
      <w:r w:rsidRPr="00CA4E4C">
        <w:rPr>
          <w:rFonts w:cs="Arial"/>
          <w:szCs w:val="22"/>
        </w:rPr>
        <w:t xml:space="preserve"> </w:t>
      </w:r>
      <w:r w:rsidR="0047143E" w:rsidRPr="00CA4E4C">
        <w:rPr>
          <w:rFonts w:cs="Arial"/>
          <w:szCs w:val="22"/>
        </w:rPr>
        <w:t xml:space="preserve">at </w:t>
      </w:r>
      <w:hyperlink r:id="rId12" w:history="1">
        <w:r w:rsidR="0047143E" w:rsidRPr="00CA4E4C">
          <w:rPr>
            <w:rStyle w:val="Hyperlink"/>
            <w:rFonts w:cs="Arial"/>
            <w:szCs w:val="22"/>
          </w:rPr>
          <w:t>https://www.sdge.com/rates-and-regulations/regulatory-filing/914/energy-efficiency-filings</w:t>
        </w:r>
      </w:hyperlink>
      <w:r w:rsidR="0047143E" w:rsidRPr="00CA4E4C">
        <w:rPr>
          <w:rFonts w:cs="Arial"/>
          <w:szCs w:val="22"/>
        </w:rPr>
        <w:t>.</w:t>
      </w:r>
    </w:p>
    <w:p w14:paraId="185CDB2D" w14:textId="220EEA74" w:rsidR="002E7FE0" w:rsidRPr="00CA4E4C" w:rsidRDefault="002E7FE0" w:rsidP="000152AC">
      <w:pPr>
        <w:pStyle w:val="BodyText"/>
        <w:rPr>
          <w:rFonts w:cs="Arial"/>
          <w:szCs w:val="22"/>
        </w:rPr>
      </w:pPr>
    </w:p>
    <w:p w14:paraId="222F78C4" w14:textId="77777777" w:rsidR="00C07B20" w:rsidRPr="00CA4E4C" w:rsidRDefault="00C07B20" w:rsidP="00F044E8">
      <w:pPr>
        <w:pStyle w:val="Heading1"/>
      </w:pPr>
      <w:r w:rsidRPr="00CA4E4C">
        <w:t>BACKGROUND</w:t>
      </w:r>
    </w:p>
    <w:p w14:paraId="1238C49B" w14:textId="77777777" w:rsidR="001F7B27" w:rsidRPr="00CA4E4C" w:rsidRDefault="001F7B27" w:rsidP="000152AC">
      <w:pPr>
        <w:jc w:val="both"/>
        <w:rPr>
          <w:rFonts w:cs="Arial"/>
          <w:szCs w:val="22"/>
        </w:rPr>
      </w:pPr>
    </w:p>
    <w:p w14:paraId="26DB3A23" w14:textId="77777777" w:rsidR="008C6AF0" w:rsidRPr="00CA4E4C" w:rsidRDefault="008C6AF0" w:rsidP="000152AC">
      <w:pPr>
        <w:jc w:val="both"/>
        <w:rPr>
          <w:rFonts w:cs="Arial"/>
          <w:szCs w:val="22"/>
        </w:rPr>
      </w:pPr>
      <w:r w:rsidRPr="00CA4E4C">
        <w:rPr>
          <w:rFonts w:cs="Arial"/>
          <w:szCs w:val="22"/>
        </w:rPr>
        <w:t>D</w:t>
      </w:r>
      <w:r w:rsidR="001F7B27" w:rsidRPr="00CA4E4C">
        <w:rPr>
          <w:rFonts w:cs="Arial"/>
          <w:szCs w:val="22"/>
        </w:rPr>
        <w:t>.</w:t>
      </w:r>
      <w:r w:rsidRPr="00CA4E4C">
        <w:rPr>
          <w:rFonts w:cs="Arial"/>
          <w:szCs w:val="22"/>
        </w:rPr>
        <w:t>15-</w:t>
      </w:r>
      <w:r w:rsidR="00B010A5" w:rsidRPr="00CA4E4C">
        <w:rPr>
          <w:rFonts w:cs="Arial"/>
          <w:szCs w:val="22"/>
        </w:rPr>
        <w:t>10-028</w:t>
      </w:r>
      <w:r w:rsidR="00413FA6" w:rsidRPr="00CA4E4C">
        <w:rPr>
          <w:rFonts w:cs="Arial"/>
          <w:szCs w:val="22"/>
        </w:rPr>
        <w:t xml:space="preserve"> established </w:t>
      </w:r>
      <w:r w:rsidR="00703367" w:rsidRPr="00CA4E4C">
        <w:rPr>
          <w:rFonts w:cs="Arial"/>
          <w:szCs w:val="22"/>
        </w:rPr>
        <w:t xml:space="preserve">the </w:t>
      </w:r>
      <w:r w:rsidR="00413FA6" w:rsidRPr="00CA4E4C">
        <w:rPr>
          <w:rFonts w:cs="Arial"/>
          <w:szCs w:val="22"/>
        </w:rPr>
        <w:t xml:space="preserve">Rolling </w:t>
      </w:r>
      <w:r w:rsidR="00703367" w:rsidRPr="00CA4E4C">
        <w:rPr>
          <w:rFonts w:cs="Arial"/>
          <w:szCs w:val="22"/>
        </w:rPr>
        <w:t xml:space="preserve">Portfolio process for regularly reviewing and updating EE portfolios following the approval of the Business Plan application.  </w:t>
      </w:r>
      <w:r w:rsidR="006F020D" w:rsidRPr="00CA4E4C">
        <w:rPr>
          <w:rFonts w:cs="Arial"/>
          <w:szCs w:val="22"/>
        </w:rPr>
        <w:t>Specifically</w:t>
      </w:r>
      <w:r w:rsidR="00703367" w:rsidRPr="00CA4E4C">
        <w:rPr>
          <w:rFonts w:cs="Arial"/>
          <w:szCs w:val="22"/>
        </w:rPr>
        <w:t>, D.15.10-028</w:t>
      </w:r>
      <w:r w:rsidR="00413FA6" w:rsidRPr="00CA4E4C">
        <w:rPr>
          <w:rFonts w:cs="Arial"/>
          <w:szCs w:val="22"/>
        </w:rPr>
        <w:t xml:space="preserve"> Ordering Paragraph </w:t>
      </w:r>
      <w:r w:rsidR="00703367" w:rsidRPr="00CA4E4C">
        <w:rPr>
          <w:rFonts w:cs="Arial"/>
          <w:szCs w:val="22"/>
        </w:rPr>
        <w:t xml:space="preserve">(OP) </w:t>
      </w:r>
      <w:r w:rsidR="001F7B27" w:rsidRPr="00CA4E4C">
        <w:rPr>
          <w:rFonts w:cs="Arial"/>
          <w:szCs w:val="22"/>
        </w:rPr>
        <w:t xml:space="preserve">4 </w:t>
      </w:r>
      <w:r w:rsidR="00413FA6" w:rsidRPr="00CA4E4C">
        <w:rPr>
          <w:rFonts w:cs="Arial"/>
          <w:szCs w:val="22"/>
        </w:rPr>
        <w:t>states:</w:t>
      </w:r>
    </w:p>
    <w:p w14:paraId="435223A9" w14:textId="77777777" w:rsidR="00703367" w:rsidRPr="00CA4E4C" w:rsidRDefault="00703367" w:rsidP="000152AC">
      <w:pPr>
        <w:jc w:val="both"/>
        <w:rPr>
          <w:rFonts w:cs="Arial"/>
          <w:szCs w:val="22"/>
        </w:rPr>
      </w:pPr>
    </w:p>
    <w:p w14:paraId="412EE728" w14:textId="77777777" w:rsidR="00413FA6" w:rsidRPr="00CA4E4C" w:rsidRDefault="00413FA6" w:rsidP="001F7B27">
      <w:pPr>
        <w:ind w:left="720" w:right="900"/>
        <w:jc w:val="both"/>
        <w:rPr>
          <w:rFonts w:cs="Arial"/>
          <w:szCs w:val="22"/>
        </w:rPr>
      </w:pPr>
      <w:r w:rsidRPr="00CA4E4C">
        <w:rPr>
          <w:rFonts w:cs="Arial"/>
          <w:szCs w:val="22"/>
        </w:rPr>
        <w:t>Each energy efficiency program administrator must file a Tier 2 advice letter containing a budget for the next calendar year’s energy efficiency portfolio by the first business day in September. The Tier 2 advice letter shall contain a portfolio cost effectiveness statement and application summary tables with forecast budgets and savings by sector and program/intervention filed in paper, with an electronic query output available in an online tool. Additionally, the Tier 2 advice letter shall provide a report on portfolio changes, annual spending, and fund shifting.</w:t>
      </w:r>
    </w:p>
    <w:p w14:paraId="3F66BE6D" w14:textId="77777777" w:rsidR="00413FA6" w:rsidRPr="00CA4E4C" w:rsidRDefault="00413FA6" w:rsidP="000152AC">
      <w:pPr>
        <w:jc w:val="both"/>
        <w:rPr>
          <w:rFonts w:cs="Arial"/>
          <w:szCs w:val="22"/>
        </w:rPr>
      </w:pPr>
    </w:p>
    <w:p w14:paraId="63A42DB8" w14:textId="77777777" w:rsidR="008C6AF0" w:rsidRPr="00CA4E4C" w:rsidRDefault="00703367" w:rsidP="000152AC">
      <w:pPr>
        <w:jc w:val="both"/>
        <w:rPr>
          <w:rFonts w:cs="Arial"/>
          <w:szCs w:val="22"/>
        </w:rPr>
      </w:pPr>
      <w:r w:rsidRPr="00CA4E4C">
        <w:rPr>
          <w:rFonts w:cs="Arial"/>
          <w:szCs w:val="22"/>
        </w:rPr>
        <w:lastRenderedPageBreak/>
        <w:t xml:space="preserve">SDG&amp;E filed its Business Plan on January 17, </w:t>
      </w:r>
      <w:r w:rsidR="00E104E3" w:rsidRPr="00CA4E4C">
        <w:rPr>
          <w:rFonts w:cs="Arial"/>
          <w:szCs w:val="22"/>
        </w:rPr>
        <w:t>2017</w:t>
      </w:r>
      <w:r w:rsidRPr="00CA4E4C">
        <w:rPr>
          <w:rFonts w:cs="Arial"/>
          <w:szCs w:val="22"/>
        </w:rPr>
        <w:t xml:space="preserve"> (A.17-01-014) which was approved by the Commission on May 31, 2018.  </w:t>
      </w:r>
      <w:r w:rsidR="008C6AF0" w:rsidRPr="00CA4E4C">
        <w:rPr>
          <w:rFonts w:cs="Arial"/>
          <w:szCs w:val="22"/>
        </w:rPr>
        <w:t>D.18-05-041</w:t>
      </w:r>
      <w:r w:rsidRPr="00CA4E4C">
        <w:rPr>
          <w:rFonts w:cs="Arial"/>
          <w:szCs w:val="22"/>
        </w:rPr>
        <w:t xml:space="preserve"> provided further detailed guidance on the requirements for the </w:t>
      </w:r>
      <w:r w:rsidR="001F7B27" w:rsidRPr="00CA4E4C">
        <w:rPr>
          <w:rFonts w:cs="Arial"/>
          <w:szCs w:val="22"/>
        </w:rPr>
        <w:t>ABAL</w:t>
      </w:r>
      <w:r w:rsidRPr="00CA4E4C">
        <w:rPr>
          <w:rFonts w:cs="Arial"/>
          <w:szCs w:val="22"/>
        </w:rPr>
        <w:t xml:space="preserve">. </w:t>
      </w:r>
      <w:r w:rsidR="003B1B3F" w:rsidRPr="00CA4E4C">
        <w:rPr>
          <w:rFonts w:cs="Arial"/>
          <w:szCs w:val="22"/>
        </w:rPr>
        <w:t xml:space="preserve"> D</w:t>
      </w:r>
      <w:r w:rsidR="006F020D" w:rsidRPr="00CA4E4C">
        <w:rPr>
          <w:rFonts w:cs="Arial"/>
          <w:szCs w:val="22"/>
        </w:rPr>
        <w:t>.18-05-041 requires the following:</w:t>
      </w:r>
    </w:p>
    <w:p w14:paraId="2C7AC8AE" w14:textId="77777777" w:rsidR="006F020D" w:rsidRPr="00CA4E4C" w:rsidRDefault="006F020D" w:rsidP="000152AC">
      <w:pPr>
        <w:jc w:val="both"/>
        <w:rPr>
          <w:rFonts w:cs="Arial"/>
          <w:szCs w:val="22"/>
        </w:rPr>
      </w:pPr>
    </w:p>
    <w:p w14:paraId="7D719712" w14:textId="2AC69882" w:rsidR="006F020D" w:rsidRPr="00CA4E4C" w:rsidRDefault="006F020D" w:rsidP="00265B2B">
      <w:pPr>
        <w:pStyle w:val="ListParagraph"/>
        <w:numPr>
          <w:ilvl w:val="0"/>
          <w:numId w:val="7"/>
        </w:numPr>
        <w:jc w:val="both"/>
        <w:rPr>
          <w:rFonts w:cs="Arial"/>
        </w:rPr>
      </w:pPr>
      <w:r w:rsidRPr="00CA4E4C">
        <w:rPr>
          <w:rFonts w:cs="Arial"/>
        </w:rPr>
        <w:t xml:space="preserve">Cost Effectiveness: The </w:t>
      </w:r>
      <w:r w:rsidR="00704E20" w:rsidRPr="00CA4E4C">
        <w:rPr>
          <w:rFonts w:cs="Arial"/>
        </w:rPr>
        <w:t xml:space="preserve">forecasted TRC </w:t>
      </w:r>
      <w:r w:rsidR="00A50865" w:rsidRPr="00CA4E4C">
        <w:rPr>
          <w:rFonts w:cs="Arial"/>
        </w:rPr>
        <w:t>during the “ramp” or transition years (i.e., 2018 – 2022) should meet or exceed a TRC of 1.00.</w:t>
      </w:r>
      <w:r w:rsidR="00A50865" w:rsidRPr="00CA4E4C">
        <w:rPr>
          <w:rStyle w:val="FootnoteReference"/>
          <w:rFonts w:cs="Arial"/>
        </w:rPr>
        <w:footnoteReference w:id="5"/>
      </w:r>
      <w:r w:rsidR="00A50865" w:rsidRPr="00CA4E4C">
        <w:rPr>
          <w:rFonts w:cs="Arial"/>
        </w:rPr>
        <w:t xml:space="preserve"> </w:t>
      </w:r>
      <w:r w:rsidR="00F64972" w:rsidRPr="00CA4E4C">
        <w:rPr>
          <w:rFonts w:cs="Arial"/>
        </w:rPr>
        <w:t>If the forecasted TRC does not meet or exceed 1.25, the Program Administrator (PA) must submit to an additional process.</w:t>
      </w:r>
      <w:r w:rsidR="00F64972" w:rsidRPr="00CA4E4C">
        <w:rPr>
          <w:rStyle w:val="FootnoteReference"/>
          <w:rFonts w:cs="Arial"/>
        </w:rPr>
        <w:footnoteReference w:id="6"/>
      </w:r>
    </w:p>
    <w:p w14:paraId="09BD81E8" w14:textId="77777777" w:rsidR="00F46B46" w:rsidRPr="00CA4E4C" w:rsidRDefault="00F46B46" w:rsidP="00265B2B">
      <w:pPr>
        <w:pStyle w:val="ListParagraph"/>
        <w:numPr>
          <w:ilvl w:val="0"/>
          <w:numId w:val="7"/>
        </w:numPr>
        <w:jc w:val="both"/>
        <w:rPr>
          <w:rFonts w:cs="Arial"/>
        </w:rPr>
      </w:pPr>
      <w:r w:rsidRPr="00CA4E4C">
        <w:rPr>
          <w:rFonts w:cs="Arial"/>
        </w:rPr>
        <w:t xml:space="preserve">Savings Goals: </w:t>
      </w:r>
      <w:r w:rsidR="005B4AD0" w:rsidRPr="00CA4E4C">
        <w:rPr>
          <w:rFonts w:cs="Arial"/>
        </w:rPr>
        <w:t>The portfolio must meet or exceed Commission adopted net goals as adopted in D.17-09-025.</w:t>
      </w:r>
    </w:p>
    <w:p w14:paraId="462D5834" w14:textId="77777777" w:rsidR="00C5450F" w:rsidRPr="00CA4E4C" w:rsidRDefault="00C5450F" w:rsidP="00265B2B">
      <w:pPr>
        <w:pStyle w:val="ListParagraph"/>
        <w:numPr>
          <w:ilvl w:val="0"/>
          <w:numId w:val="7"/>
        </w:numPr>
        <w:jc w:val="both"/>
        <w:rPr>
          <w:rFonts w:cs="Arial"/>
        </w:rPr>
      </w:pPr>
      <w:r w:rsidRPr="00CA4E4C">
        <w:rPr>
          <w:rFonts w:cs="Arial"/>
        </w:rPr>
        <w:t xml:space="preserve">Proposed Budget: </w:t>
      </w:r>
      <w:r w:rsidR="008F6EE3" w:rsidRPr="00CA4E4C">
        <w:rPr>
          <w:rFonts w:cs="Arial"/>
        </w:rPr>
        <w:t xml:space="preserve">The forecasted </w:t>
      </w:r>
      <w:r w:rsidR="005B75DC" w:rsidRPr="00CA4E4C">
        <w:rPr>
          <w:rFonts w:cs="Arial"/>
        </w:rPr>
        <w:t>annual funding levels must not exceed the overall funding amount in the PA’s 2018-2025 business plan.</w:t>
      </w:r>
      <w:r w:rsidR="008F6EE3" w:rsidRPr="00CA4E4C">
        <w:rPr>
          <w:rStyle w:val="FootnoteReference"/>
          <w:rFonts w:cs="Arial"/>
        </w:rPr>
        <w:footnoteReference w:id="7"/>
      </w:r>
    </w:p>
    <w:p w14:paraId="549DA233" w14:textId="77777777" w:rsidR="00C96BBB" w:rsidRPr="00CA4E4C" w:rsidRDefault="00C96BBB" w:rsidP="00C96BBB">
      <w:pPr>
        <w:jc w:val="both"/>
        <w:rPr>
          <w:rFonts w:cs="Arial"/>
        </w:rPr>
      </w:pPr>
      <w:r w:rsidRPr="00CA4E4C">
        <w:rPr>
          <w:rFonts w:cs="Arial"/>
        </w:rPr>
        <w:t xml:space="preserve">In addition to these requirements, D.18-05-041 requires the PA </w:t>
      </w:r>
      <w:r w:rsidR="00FA79AF" w:rsidRPr="00CA4E4C">
        <w:rPr>
          <w:rFonts w:cs="Arial"/>
        </w:rPr>
        <w:t xml:space="preserve">to </w:t>
      </w:r>
      <w:r w:rsidRPr="00CA4E4C">
        <w:rPr>
          <w:rFonts w:cs="Arial"/>
        </w:rPr>
        <w:t>provide information on the abov</w:t>
      </w:r>
      <w:r w:rsidR="00FA79AF" w:rsidRPr="00CA4E4C">
        <w:rPr>
          <w:rFonts w:cs="Arial"/>
        </w:rPr>
        <w:t>e criteria based on Commission s</w:t>
      </w:r>
      <w:r w:rsidRPr="00CA4E4C">
        <w:rPr>
          <w:rFonts w:cs="Arial"/>
        </w:rPr>
        <w:t>taff developed templates.</w:t>
      </w:r>
      <w:r w:rsidR="00B73504" w:rsidRPr="00CA4E4C">
        <w:rPr>
          <w:rFonts w:cs="Arial"/>
        </w:rPr>
        <w:t xml:space="preserve">  These templates are provided in Appendix B</w:t>
      </w:r>
      <w:r w:rsidR="007D3844" w:rsidRPr="00CA4E4C">
        <w:rPr>
          <w:rFonts w:cs="Arial"/>
        </w:rPr>
        <w:t>, as prescribed by Energy Division</w:t>
      </w:r>
      <w:r w:rsidR="00B73504" w:rsidRPr="00CA4E4C">
        <w:rPr>
          <w:rFonts w:cs="Arial"/>
        </w:rPr>
        <w:t>.</w:t>
      </w:r>
      <w:r w:rsidRPr="00CA4E4C">
        <w:rPr>
          <w:rFonts w:cs="Arial"/>
        </w:rPr>
        <w:t xml:space="preserve">  </w:t>
      </w:r>
      <w:r w:rsidR="005B75DC" w:rsidRPr="00CA4E4C">
        <w:rPr>
          <w:rFonts w:cs="Arial"/>
        </w:rPr>
        <w:t>Further</w:t>
      </w:r>
      <w:r w:rsidR="00FA79AF" w:rsidRPr="00CA4E4C">
        <w:rPr>
          <w:rFonts w:cs="Arial"/>
        </w:rPr>
        <w:t>,</w:t>
      </w:r>
      <w:r w:rsidRPr="00CA4E4C">
        <w:rPr>
          <w:rFonts w:cs="Arial"/>
        </w:rPr>
        <w:t xml:space="preserve"> the ABAL should include certain program and portfolio descriptive information:</w:t>
      </w:r>
      <w:r w:rsidRPr="00CA4E4C">
        <w:rPr>
          <w:rStyle w:val="FootnoteReference"/>
          <w:rFonts w:cs="Arial"/>
        </w:rPr>
        <w:footnoteReference w:id="8"/>
      </w:r>
    </w:p>
    <w:p w14:paraId="3E645A2A" w14:textId="77777777" w:rsidR="00C96BBB" w:rsidRPr="00CA4E4C" w:rsidRDefault="00C96BBB" w:rsidP="00C96BBB">
      <w:pPr>
        <w:jc w:val="both"/>
        <w:rPr>
          <w:rFonts w:cs="Arial"/>
        </w:rPr>
      </w:pPr>
    </w:p>
    <w:p w14:paraId="2AE3DCB8" w14:textId="77777777" w:rsidR="00C96BBB" w:rsidRPr="00CA4E4C" w:rsidRDefault="00C96BBB" w:rsidP="00897E92">
      <w:pPr>
        <w:pStyle w:val="ListParagraph"/>
        <w:numPr>
          <w:ilvl w:val="0"/>
          <w:numId w:val="5"/>
        </w:numPr>
        <w:spacing w:after="0" w:line="240" w:lineRule="auto"/>
        <w:jc w:val="both"/>
        <w:rPr>
          <w:rFonts w:cs="Arial"/>
        </w:rPr>
      </w:pPr>
      <w:r w:rsidRPr="00CA4E4C">
        <w:rPr>
          <w:rFonts w:cs="Arial"/>
        </w:rPr>
        <w:t>Discussion of proposed program changes</w:t>
      </w:r>
      <w:r w:rsidR="00FA79AF" w:rsidRPr="00CA4E4C">
        <w:rPr>
          <w:rFonts w:cs="Arial"/>
        </w:rPr>
        <w:t>.</w:t>
      </w:r>
      <w:r w:rsidRPr="00CA4E4C">
        <w:rPr>
          <w:rFonts w:cs="Arial"/>
        </w:rPr>
        <w:t xml:space="preserve"> </w:t>
      </w:r>
    </w:p>
    <w:p w14:paraId="0297420F" w14:textId="77777777" w:rsidR="00C96BBB" w:rsidRPr="00CA4E4C" w:rsidRDefault="00C96BBB" w:rsidP="00897E92">
      <w:pPr>
        <w:pStyle w:val="ListParagraph"/>
        <w:numPr>
          <w:ilvl w:val="0"/>
          <w:numId w:val="5"/>
        </w:numPr>
        <w:spacing w:after="0" w:line="240" w:lineRule="auto"/>
        <w:jc w:val="both"/>
        <w:rPr>
          <w:rFonts w:cs="Arial"/>
        </w:rPr>
      </w:pPr>
      <w:r w:rsidRPr="00CA4E4C">
        <w:rPr>
          <w:rFonts w:cs="Arial"/>
        </w:rPr>
        <w:t>Discussion of proposed portfolio changes</w:t>
      </w:r>
      <w:r w:rsidR="00FA79AF" w:rsidRPr="00CA4E4C">
        <w:rPr>
          <w:rFonts w:cs="Arial"/>
        </w:rPr>
        <w:t>.</w:t>
      </w:r>
    </w:p>
    <w:p w14:paraId="7FCDEA4D" w14:textId="77777777" w:rsidR="00C96BBB" w:rsidRPr="00CA4E4C" w:rsidRDefault="00C96BBB" w:rsidP="00897E92">
      <w:pPr>
        <w:pStyle w:val="ListParagraph"/>
        <w:numPr>
          <w:ilvl w:val="0"/>
          <w:numId w:val="5"/>
        </w:numPr>
        <w:spacing w:after="0" w:line="240" w:lineRule="auto"/>
        <w:jc w:val="both"/>
        <w:rPr>
          <w:rFonts w:cs="Arial"/>
        </w:rPr>
      </w:pPr>
      <w:r w:rsidRPr="00CA4E4C">
        <w:rPr>
          <w:rFonts w:cs="Arial"/>
        </w:rPr>
        <w:t>Any ABAL that includes a forecast</w:t>
      </w:r>
      <w:r w:rsidR="009C75B4" w:rsidRPr="00CA4E4C">
        <w:rPr>
          <w:rFonts w:cs="Arial"/>
        </w:rPr>
        <w:t>ed</w:t>
      </w:r>
      <w:r w:rsidRPr="00CA4E4C">
        <w:rPr>
          <w:rFonts w:cs="Arial"/>
        </w:rPr>
        <w:t xml:space="preserve"> portfolio TRC between 1.0 and 1.25 during the 2019-2022 ramp years should include:</w:t>
      </w:r>
    </w:p>
    <w:p w14:paraId="19A2764D" w14:textId="77777777" w:rsidR="00C96BBB" w:rsidRPr="00CA4E4C" w:rsidRDefault="00C96BBB" w:rsidP="00897E92">
      <w:pPr>
        <w:pStyle w:val="ListParagraph"/>
        <w:numPr>
          <w:ilvl w:val="0"/>
          <w:numId w:val="6"/>
        </w:numPr>
        <w:spacing w:after="0" w:line="240" w:lineRule="auto"/>
        <w:ind w:left="1080"/>
        <w:jc w:val="both"/>
        <w:rPr>
          <w:rFonts w:cs="Arial"/>
        </w:rPr>
      </w:pPr>
      <w:r w:rsidRPr="00CA4E4C">
        <w:rPr>
          <w:rFonts w:cs="Arial"/>
        </w:rPr>
        <w:t>An explanation of why the PA is not proposing a portfolio that meets a 1.25 TRC;</w:t>
      </w:r>
    </w:p>
    <w:p w14:paraId="08A128CA" w14:textId="77777777" w:rsidR="00C96BBB" w:rsidRPr="00CA4E4C" w:rsidRDefault="00C96BBB" w:rsidP="00897E92">
      <w:pPr>
        <w:pStyle w:val="ListParagraph"/>
        <w:numPr>
          <w:ilvl w:val="0"/>
          <w:numId w:val="6"/>
        </w:numPr>
        <w:spacing w:after="0" w:line="240" w:lineRule="auto"/>
        <w:ind w:left="1080"/>
        <w:jc w:val="both"/>
        <w:rPr>
          <w:rFonts w:cs="Arial"/>
        </w:rPr>
      </w:pPr>
      <w:r w:rsidRPr="00CA4E4C">
        <w:rPr>
          <w:rFonts w:cs="Arial"/>
        </w:rPr>
        <w:t>Why the PA is confident that it will meet the evaluated 1.0 TRC for that year; and</w:t>
      </w:r>
    </w:p>
    <w:p w14:paraId="29A6856E" w14:textId="77777777" w:rsidR="00C96BBB" w:rsidRPr="00CA4E4C" w:rsidRDefault="00C96BBB" w:rsidP="00897E92">
      <w:pPr>
        <w:pStyle w:val="ListParagraph"/>
        <w:numPr>
          <w:ilvl w:val="0"/>
          <w:numId w:val="6"/>
        </w:numPr>
        <w:spacing w:after="0" w:line="240" w:lineRule="auto"/>
        <w:ind w:left="1080"/>
        <w:jc w:val="both"/>
        <w:rPr>
          <w:rFonts w:cs="Arial"/>
        </w:rPr>
      </w:pPr>
      <w:r w:rsidRPr="00CA4E4C">
        <w:rPr>
          <w:rFonts w:cs="Arial"/>
        </w:rPr>
        <w:t>How the PA intends to lower costs or increase savings going forward.</w:t>
      </w:r>
    </w:p>
    <w:p w14:paraId="7459A1B4" w14:textId="77777777" w:rsidR="00C96BBB" w:rsidRPr="00CA4E4C" w:rsidRDefault="00C96BBB" w:rsidP="00897E92">
      <w:pPr>
        <w:pStyle w:val="ListParagraph"/>
        <w:numPr>
          <w:ilvl w:val="0"/>
          <w:numId w:val="5"/>
        </w:numPr>
        <w:spacing w:after="0" w:line="240" w:lineRule="auto"/>
        <w:jc w:val="both"/>
        <w:rPr>
          <w:rFonts w:cs="Arial"/>
        </w:rPr>
      </w:pPr>
      <w:r w:rsidRPr="00CA4E4C">
        <w:rPr>
          <w:rFonts w:cs="Arial"/>
        </w:rPr>
        <w:t>Any ABAL that includes forecasted energy savings that are lower than Commission established annual savings goals</w:t>
      </w:r>
      <w:r w:rsidR="00983E28" w:rsidRPr="00CA4E4C">
        <w:rPr>
          <w:rFonts w:cs="Arial"/>
        </w:rPr>
        <w:t xml:space="preserve"> </w:t>
      </w:r>
      <w:r w:rsidRPr="00CA4E4C">
        <w:rPr>
          <w:rFonts w:cs="Arial"/>
        </w:rPr>
        <w:t>should include:</w:t>
      </w:r>
    </w:p>
    <w:p w14:paraId="2D9D60F1" w14:textId="6976CA84" w:rsidR="00C96BBB" w:rsidRPr="00CA4E4C" w:rsidRDefault="00C96BBB" w:rsidP="00897E92">
      <w:pPr>
        <w:pStyle w:val="ListParagraph"/>
        <w:numPr>
          <w:ilvl w:val="1"/>
          <w:numId w:val="5"/>
        </w:numPr>
        <w:spacing w:after="0" w:line="240" w:lineRule="auto"/>
        <w:ind w:left="1080"/>
        <w:jc w:val="both"/>
        <w:rPr>
          <w:rFonts w:cs="Arial"/>
        </w:rPr>
      </w:pPr>
      <w:r w:rsidRPr="00CA4E4C">
        <w:rPr>
          <w:rFonts w:cs="Arial"/>
        </w:rPr>
        <w:t xml:space="preserve">Discussion or explanation </w:t>
      </w:r>
      <w:r w:rsidR="00983E28" w:rsidRPr="00CA4E4C">
        <w:rPr>
          <w:rFonts w:cs="Arial"/>
        </w:rPr>
        <w:t xml:space="preserve">of </w:t>
      </w:r>
      <w:r w:rsidRPr="00CA4E4C">
        <w:rPr>
          <w:rFonts w:cs="Arial"/>
        </w:rPr>
        <w:t>how the PA will ensure achievement of the overall savings goals, within the overall budget, during the business plan period (i.e., through 2025).</w:t>
      </w:r>
    </w:p>
    <w:p w14:paraId="0D441B66" w14:textId="77777777" w:rsidR="00897E92" w:rsidRPr="00CA4E4C" w:rsidRDefault="00897E92" w:rsidP="00897E92">
      <w:pPr>
        <w:ind w:left="720"/>
        <w:jc w:val="both"/>
        <w:rPr>
          <w:rFonts w:cs="Arial"/>
        </w:rPr>
      </w:pPr>
    </w:p>
    <w:p w14:paraId="099CBC6B" w14:textId="77777777" w:rsidR="00C07B20" w:rsidRPr="00CA4E4C" w:rsidRDefault="00C07B20" w:rsidP="000152AC">
      <w:pPr>
        <w:pStyle w:val="Heading2"/>
        <w:rPr>
          <w:rFonts w:cs="Arial"/>
          <w:szCs w:val="22"/>
        </w:rPr>
      </w:pPr>
      <w:r w:rsidRPr="00CA4E4C">
        <w:rPr>
          <w:rFonts w:cs="Arial"/>
          <w:szCs w:val="22"/>
        </w:rPr>
        <w:t>Portfolio Program Budgets</w:t>
      </w:r>
    </w:p>
    <w:p w14:paraId="5CF5178E" w14:textId="77777777" w:rsidR="00C07B20" w:rsidRPr="00CA4E4C" w:rsidRDefault="00C07B20" w:rsidP="000152AC">
      <w:pPr>
        <w:jc w:val="both"/>
        <w:rPr>
          <w:rFonts w:cs="Arial"/>
          <w:szCs w:val="22"/>
        </w:rPr>
      </w:pPr>
    </w:p>
    <w:p w14:paraId="419595C0" w14:textId="77777777" w:rsidR="00C07B20" w:rsidRPr="00CA4E4C" w:rsidRDefault="008204AD" w:rsidP="000152AC">
      <w:pPr>
        <w:jc w:val="both"/>
        <w:rPr>
          <w:rFonts w:cs="Arial"/>
          <w:szCs w:val="22"/>
        </w:rPr>
      </w:pPr>
      <w:r w:rsidRPr="00CA4E4C">
        <w:rPr>
          <w:rFonts w:cs="Arial"/>
          <w:szCs w:val="22"/>
        </w:rPr>
        <w:t>SDG&amp;E</w:t>
      </w:r>
      <w:r w:rsidR="00FA79AF" w:rsidRPr="00CA4E4C">
        <w:rPr>
          <w:rFonts w:cs="Arial"/>
          <w:szCs w:val="22"/>
        </w:rPr>
        <w:t>’</w:t>
      </w:r>
      <w:r w:rsidR="00337DC5" w:rsidRPr="00CA4E4C">
        <w:rPr>
          <w:rFonts w:cs="Arial"/>
          <w:szCs w:val="22"/>
        </w:rPr>
        <w:t>s</w:t>
      </w:r>
      <w:r w:rsidRPr="00CA4E4C">
        <w:rPr>
          <w:rFonts w:cs="Arial"/>
          <w:szCs w:val="22"/>
        </w:rPr>
        <w:t xml:space="preserve"> approved </w:t>
      </w:r>
      <w:r w:rsidR="00FA79AF" w:rsidRPr="00CA4E4C">
        <w:rPr>
          <w:rFonts w:cs="Arial"/>
          <w:szCs w:val="22"/>
        </w:rPr>
        <w:t xml:space="preserve">annual portfolio budget in </w:t>
      </w:r>
      <w:r w:rsidR="00B010A5" w:rsidRPr="00CA4E4C">
        <w:rPr>
          <w:rFonts w:cs="Arial"/>
          <w:szCs w:val="22"/>
        </w:rPr>
        <w:t>D.18-05-041</w:t>
      </w:r>
      <w:r w:rsidR="004815BC" w:rsidRPr="00CA4E4C">
        <w:rPr>
          <w:rFonts w:cs="Arial"/>
          <w:szCs w:val="22"/>
        </w:rPr>
        <w:t xml:space="preserve"> </w:t>
      </w:r>
      <w:r w:rsidR="00D060C1" w:rsidRPr="00CA4E4C">
        <w:rPr>
          <w:rFonts w:cs="Arial"/>
          <w:szCs w:val="22"/>
        </w:rPr>
        <w:t xml:space="preserve">reflected </w:t>
      </w:r>
      <w:r w:rsidR="004815BC" w:rsidRPr="00CA4E4C">
        <w:rPr>
          <w:rFonts w:cs="Arial"/>
          <w:szCs w:val="22"/>
        </w:rPr>
        <w:t xml:space="preserve">in </w:t>
      </w:r>
      <w:r w:rsidR="006A2CE8" w:rsidRPr="00CA4E4C">
        <w:rPr>
          <w:rFonts w:cs="Arial"/>
          <w:szCs w:val="22"/>
        </w:rPr>
        <w:t xml:space="preserve">Table 1 provides the </w:t>
      </w:r>
      <w:r w:rsidR="00E44902" w:rsidRPr="00CA4E4C">
        <w:rPr>
          <w:rFonts w:cs="Arial"/>
          <w:szCs w:val="22"/>
        </w:rPr>
        <w:t>authorized</w:t>
      </w:r>
      <w:r w:rsidR="006A2CE8" w:rsidRPr="00CA4E4C">
        <w:rPr>
          <w:rFonts w:cs="Arial"/>
          <w:szCs w:val="22"/>
        </w:rPr>
        <w:t xml:space="preserve"> </w:t>
      </w:r>
      <w:r w:rsidR="00762257" w:rsidRPr="00CA4E4C">
        <w:rPr>
          <w:rFonts w:cs="Arial"/>
          <w:szCs w:val="22"/>
        </w:rPr>
        <w:t>201</w:t>
      </w:r>
      <w:r w:rsidR="00E44902" w:rsidRPr="00CA4E4C">
        <w:rPr>
          <w:rFonts w:cs="Arial"/>
          <w:szCs w:val="22"/>
        </w:rPr>
        <w:t>9</w:t>
      </w:r>
      <w:r w:rsidR="00762257" w:rsidRPr="00CA4E4C">
        <w:rPr>
          <w:rFonts w:cs="Arial"/>
          <w:szCs w:val="22"/>
        </w:rPr>
        <w:t xml:space="preserve"> </w:t>
      </w:r>
      <w:r w:rsidR="00FA79AF" w:rsidRPr="00CA4E4C">
        <w:rPr>
          <w:rFonts w:cs="Arial"/>
          <w:szCs w:val="22"/>
        </w:rPr>
        <w:t>Rolling P</w:t>
      </w:r>
      <w:r w:rsidR="00676BE1" w:rsidRPr="00CA4E4C">
        <w:rPr>
          <w:rFonts w:cs="Arial"/>
          <w:szCs w:val="22"/>
        </w:rPr>
        <w:t>ortfolio budget</w:t>
      </w:r>
      <w:r w:rsidR="00762257" w:rsidRPr="00CA4E4C">
        <w:rPr>
          <w:rFonts w:cs="Arial"/>
          <w:szCs w:val="22"/>
        </w:rPr>
        <w:t xml:space="preserve"> as approved in D.15-01-023</w:t>
      </w:r>
      <w:r w:rsidR="00B010A5" w:rsidRPr="00CA4E4C">
        <w:rPr>
          <w:rFonts w:cs="Arial"/>
          <w:szCs w:val="22"/>
        </w:rPr>
        <w:t xml:space="preserve"> and confirmed by D.18-05-041.</w:t>
      </w:r>
      <w:r w:rsidR="004815BC" w:rsidRPr="00CA4E4C">
        <w:rPr>
          <w:rFonts w:cs="Arial"/>
          <w:szCs w:val="22"/>
        </w:rPr>
        <w:t xml:space="preserve">  Table 1 also includes the authorized </w:t>
      </w:r>
      <w:r w:rsidR="00337DC5" w:rsidRPr="00CA4E4C">
        <w:rPr>
          <w:rFonts w:cs="Arial"/>
          <w:szCs w:val="22"/>
        </w:rPr>
        <w:t>Integrated</w:t>
      </w:r>
      <w:r w:rsidR="004815BC" w:rsidRPr="00CA4E4C">
        <w:rPr>
          <w:rFonts w:cs="Arial"/>
          <w:szCs w:val="22"/>
        </w:rPr>
        <w:t xml:space="preserve"> Demand Side Management (IDSM) Demand Response (DR) budget.</w:t>
      </w:r>
    </w:p>
    <w:p w14:paraId="229EC78F" w14:textId="77777777" w:rsidR="00C07B20" w:rsidRPr="00CA4E4C" w:rsidRDefault="00C07B20" w:rsidP="000152AC">
      <w:pPr>
        <w:jc w:val="both"/>
        <w:rPr>
          <w:rFonts w:cs="Arial"/>
          <w:szCs w:val="22"/>
        </w:rPr>
      </w:pPr>
    </w:p>
    <w:p w14:paraId="405A8680" w14:textId="77777777" w:rsidR="00C07B20" w:rsidRPr="00CA4E4C" w:rsidRDefault="00C07B20" w:rsidP="00C07B20">
      <w:pPr>
        <w:pStyle w:val="Heading3"/>
        <w:jc w:val="center"/>
        <w:rPr>
          <w:rFonts w:cs="Arial"/>
          <w:szCs w:val="22"/>
        </w:rPr>
      </w:pPr>
      <w:r w:rsidRPr="00CA4E4C">
        <w:rPr>
          <w:rFonts w:cs="Arial"/>
          <w:szCs w:val="22"/>
        </w:rPr>
        <w:t xml:space="preserve">Table 1: Approved </w:t>
      </w:r>
      <w:r w:rsidR="00621051" w:rsidRPr="00CA4E4C">
        <w:rPr>
          <w:rFonts w:cs="Arial"/>
          <w:szCs w:val="22"/>
        </w:rPr>
        <w:t xml:space="preserve">Rolling Portfolio Annual </w:t>
      </w:r>
      <w:r w:rsidRPr="00CA4E4C">
        <w:rPr>
          <w:rFonts w:cs="Arial"/>
          <w:szCs w:val="22"/>
        </w:rPr>
        <w:t>EE and DR Program Budgets</w:t>
      </w:r>
      <w:r w:rsidR="00D01E42" w:rsidRPr="00CA4E4C">
        <w:rPr>
          <w:rFonts w:cs="Arial"/>
          <w:szCs w:val="22"/>
        </w:rPr>
        <w:t xml:space="preserve"> ($000)</w:t>
      </w:r>
    </w:p>
    <w:p w14:paraId="6BE6B643" w14:textId="77777777" w:rsidR="0025114D" w:rsidRPr="00CA4E4C" w:rsidRDefault="0025114D" w:rsidP="00C07B20">
      <w:pPr>
        <w:pStyle w:val="Heading3"/>
        <w:rPr>
          <w:rFonts w:cs="Arial"/>
          <w:b w:val="0"/>
          <w:szCs w:val="22"/>
        </w:rPr>
      </w:pPr>
    </w:p>
    <w:p w14:paraId="0CEB1969" w14:textId="77777777" w:rsidR="00551097" w:rsidRPr="00CA4E4C" w:rsidRDefault="00EA7F6A" w:rsidP="00D44D1A">
      <w:pPr>
        <w:rPr>
          <w:rFonts w:cs="Arial"/>
          <w:bCs/>
          <w:color w:val="000000"/>
          <w:szCs w:val="22"/>
        </w:rPr>
      </w:pPr>
      <w:r w:rsidRPr="00CA4E4C">
        <w:rPr>
          <w:rFonts w:cs="Arial"/>
          <w:noProof/>
        </w:rPr>
        <w:drawing>
          <wp:inline distT="0" distB="0" distL="0" distR="0" wp14:anchorId="4822E5B3" wp14:editId="7DD2EB93">
            <wp:extent cx="5941060" cy="896620"/>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1060" cy="896620"/>
                    </a:xfrm>
                    <a:prstGeom prst="rect">
                      <a:avLst/>
                    </a:prstGeom>
                    <a:noFill/>
                    <a:ln>
                      <a:noFill/>
                    </a:ln>
                  </pic:spPr>
                </pic:pic>
              </a:graphicData>
            </a:graphic>
          </wp:inline>
        </w:drawing>
      </w:r>
    </w:p>
    <w:p w14:paraId="323A885E" w14:textId="77777777" w:rsidR="00471D6E" w:rsidRPr="00CA4E4C" w:rsidRDefault="00471D6E" w:rsidP="00D44D1A">
      <w:pPr>
        <w:rPr>
          <w:rFonts w:cs="Arial"/>
        </w:rPr>
      </w:pPr>
    </w:p>
    <w:p w14:paraId="0A8E52F9" w14:textId="77777777" w:rsidR="00356FE9" w:rsidRPr="00CA4E4C" w:rsidRDefault="00356FE9" w:rsidP="00C07B20">
      <w:pPr>
        <w:rPr>
          <w:rFonts w:cs="Arial"/>
          <w:szCs w:val="22"/>
        </w:rPr>
      </w:pPr>
    </w:p>
    <w:p w14:paraId="1111BF40" w14:textId="363DD686" w:rsidR="00C07B20" w:rsidRPr="00FF16D3" w:rsidRDefault="006634EB">
      <w:pPr>
        <w:pStyle w:val="Heading3"/>
        <w:keepLines/>
        <w:ind w:hanging="720"/>
        <w:rPr>
          <w:rFonts w:cs="Arial"/>
        </w:rPr>
      </w:pPr>
      <w:r w:rsidRPr="00CA4E4C">
        <w:rPr>
          <w:rFonts w:cs="Arial"/>
        </w:rPr>
        <w:t>A</w:t>
      </w:r>
      <w:r w:rsidR="00C07B20" w:rsidRPr="00CA4E4C">
        <w:rPr>
          <w:rFonts w:cs="Arial"/>
        </w:rPr>
        <w:t xml:space="preserve">. </w:t>
      </w:r>
      <w:r w:rsidR="000152AC" w:rsidRPr="00CA4E4C">
        <w:rPr>
          <w:rFonts w:cs="Arial"/>
          <w:szCs w:val="22"/>
        </w:rPr>
        <w:tab/>
      </w:r>
      <w:r w:rsidR="00EB6782" w:rsidRPr="00FF16D3">
        <w:rPr>
          <w:rFonts w:cs="Arial"/>
          <w:u w:val="single"/>
        </w:rPr>
        <w:t>20</w:t>
      </w:r>
      <w:r w:rsidR="00EF1F05" w:rsidRPr="00FF16D3">
        <w:rPr>
          <w:rFonts w:cs="Arial"/>
          <w:u w:val="single"/>
        </w:rPr>
        <w:t>20</w:t>
      </w:r>
      <w:r w:rsidR="00EB6782" w:rsidRPr="00FF16D3">
        <w:rPr>
          <w:rFonts w:cs="Arial"/>
          <w:u w:val="single"/>
        </w:rPr>
        <w:t xml:space="preserve"> </w:t>
      </w:r>
      <w:r w:rsidR="00C07B20" w:rsidRPr="00FF16D3">
        <w:rPr>
          <w:rFonts w:cs="Arial"/>
          <w:u w:val="single"/>
        </w:rPr>
        <w:t>Energy Efficiency Program Budgets</w:t>
      </w:r>
    </w:p>
    <w:p w14:paraId="70E2B4D7" w14:textId="77777777" w:rsidR="00C07B20" w:rsidRPr="00B75675" w:rsidRDefault="00C07B20">
      <w:pPr>
        <w:keepNext/>
        <w:keepLines/>
        <w:rPr>
          <w:rFonts w:cs="Arial"/>
          <w:highlight w:val="cyan"/>
        </w:rPr>
      </w:pPr>
    </w:p>
    <w:p w14:paraId="44409DF5" w14:textId="675DD431" w:rsidR="00C07B20" w:rsidRPr="00CA4E4C" w:rsidRDefault="00A53AAD" w:rsidP="005C1A0E">
      <w:pPr>
        <w:keepNext/>
        <w:keepLines/>
        <w:jc w:val="both"/>
        <w:rPr>
          <w:rFonts w:cs="Arial"/>
          <w:szCs w:val="22"/>
        </w:rPr>
      </w:pPr>
      <w:r w:rsidRPr="00CA4E4C">
        <w:rPr>
          <w:rFonts w:cs="Arial"/>
          <w:szCs w:val="22"/>
        </w:rPr>
        <w:t xml:space="preserve">Table </w:t>
      </w:r>
      <w:r w:rsidR="0038038D" w:rsidRPr="00CA4E4C">
        <w:rPr>
          <w:rFonts w:cs="Arial"/>
          <w:szCs w:val="22"/>
        </w:rPr>
        <w:t>2</w:t>
      </w:r>
      <w:r w:rsidRPr="00CA4E4C">
        <w:rPr>
          <w:rFonts w:cs="Arial"/>
          <w:szCs w:val="22"/>
        </w:rPr>
        <w:t xml:space="preserve"> shows the </w:t>
      </w:r>
      <w:r w:rsidR="00036C4B" w:rsidRPr="00CA4E4C">
        <w:rPr>
          <w:rFonts w:cs="Arial"/>
          <w:szCs w:val="22"/>
        </w:rPr>
        <w:t>20</w:t>
      </w:r>
      <w:r w:rsidR="00EF1F05" w:rsidRPr="00CA4E4C">
        <w:rPr>
          <w:rFonts w:cs="Arial"/>
          <w:szCs w:val="22"/>
        </w:rPr>
        <w:t>20</w:t>
      </w:r>
      <w:r w:rsidR="00036C4B" w:rsidRPr="00CA4E4C">
        <w:rPr>
          <w:rFonts w:cs="Arial"/>
          <w:szCs w:val="22"/>
        </w:rPr>
        <w:t xml:space="preserve"> </w:t>
      </w:r>
      <w:r w:rsidR="00C07B20" w:rsidRPr="00CA4E4C">
        <w:rPr>
          <w:rFonts w:cs="Arial"/>
          <w:szCs w:val="22"/>
        </w:rPr>
        <w:t xml:space="preserve">SDG&amp;E </w:t>
      </w:r>
      <w:r w:rsidRPr="00CA4E4C">
        <w:rPr>
          <w:rFonts w:cs="Arial"/>
          <w:szCs w:val="22"/>
        </w:rPr>
        <w:t>business sector budgets.</w:t>
      </w:r>
    </w:p>
    <w:p w14:paraId="7DF89199" w14:textId="77777777" w:rsidR="00C07B20" w:rsidRPr="00CA4E4C" w:rsidRDefault="00C07B20" w:rsidP="00C07B20">
      <w:pPr>
        <w:jc w:val="center"/>
        <w:rPr>
          <w:rFonts w:cs="Arial"/>
          <w:szCs w:val="22"/>
        </w:rPr>
      </w:pPr>
    </w:p>
    <w:p w14:paraId="43F6935E" w14:textId="674E72C6" w:rsidR="00C07B20" w:rsidRPr="00CA4E4C" w:rsidRDefault="00C07B20" w:rsidP="00C07B20">
      <w:pPr>
        <w:pStyle w:val="Heading3"/>
        <w:jc w:val="center"/>
        <w:rPr>
          <w:rFonts w:cs="Arial"/>
          <w:szCs w:val="22"/>
        </w:rPr>
      </w:pPr>
      <w:r w:rsidRPr="00CA4E4C">
        <w:rPr>
          <w:rFonts w:cs="Arial"/>
        </w:rPr>
        <w:t xml:space="preserve">Table </w:t>
      </w:r>
      <w:r w:rsidR="006634EB" w:rsidRPr="00CA4E4C">
        <w:rPr>
          <w:rFonts w:cs="Arial"/>
        </w:rPr>
        <w:t>2</w:t>
      </w:r>
      <w:r w:rsidRPr="00CA4E4C">
        <w:rPr>
          <w:rFonts w:cs="Arial"/>
        </w:rPr>
        <w:t xml:space="preserve">: SDG&amp;E </w:t>
      </w:r>
      <w:r w:rsidR="00EB6782" w:rsidRPr="00CA4E4C">
        <w:rPr>
          <w:rFonts w:cs="Arial"/>
        </w:rPr>
        <w:t>20</w:t>
      </w:r>
      <w:r w:rsidR="003D4145" w:rsidRPr="00CA4E4C">
        <w:rPr>
          <w:rFonts w:cs="Arial"/>
        </w:rPr>
        <w:t>20</w:t>
      </w:r>
      <w:r w:rsidR="00EB6782" w:rsidRPr="00CA4E4C">
        <w:rPr>
          <w:rFonts w:cs="Arial"/>
        </w:rPr>
        <w:t xml:space="preserve"> </w:t>
      </w:r>
      <w:r w:rsidRPr="00CA4E4C">
        <w:rPr>
          <w:rFonts w:cs="Arial"/>
        </w:rPr>
        <w:t xml:space="preserve">EE Program Budgets by </w:t>
      </w:r>
      <w:r w:rsidR="00E44902" w:rsidRPr="00CA4E4C">
        <w:rPr>
          <w:rFonts w:cs="Arial"/>
        </w:rPr>
        <w:t>Business Sector</w:t>
      </w:r>
    </w:p>
    <w:p w14:paraId="1BB44B05" w14:textId="77777777" w:rsidR="004541D4" w:rsidRDefault="004541D4" w:rsidP="00021CA2">
      <w:pPr>
        <w:jc w:val="center"/>
        <w:rPr>
          <w:rFonts w:cs="Arial"/>
        </w:rPr>
      </w:pPr>
    </w:p>
    <w:p w14:paraId="26808602" w14:textId="52D527FC" w:rsidR="5CB50332" w:rsidRPr="00CA4E4C" w:rsidRDefault="00B44179" w:rsidP="00021CA2">
      <w:pPr>
        <w:jc w:val="center"/>
        <w:rPr>
          <w:rFonts w:cs="Arial"/>
        </w:rPr>
      </w:pPr>
      <w:r>
        <w:rPr>
          <w:noProof/>
        </w:rPr>
        <w:drawing>
          <wp:inline distT="0" distB="0" distL="0" distR="0" wp14:anchorId="2887E67C" wp14:editId="0EFA1A77">
            <wp:extent cx="4288155" cy="2899346"/>
            <wp:effectExtent l="0" t="0" r="0" b="0"/>
            <wp:docPr id="5" name="Picture 5" descr="cid:image001.png@01D546F3.B66929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546F3.B6692900"/>
                    <pic:cNvPicPr>
                      <a:picLocks noChangeAspect="1" noChangeArrowheads="1"/>
                    </pic:cNvPicPr>
                  </pic:nvPicPr>
                  <pic:blipFill rotWithShape="1">
                    <a:blip r:embed="rId14" r:link="rId15">
                      <a:extLst>
                        <a:ext uri="{28A0092B-C50C-407E-A947-70E740481C1C}">
                          <a14:useLocalDpi xmlns:a14="http://schemas.microsoft.com/office/drawing/2010/main" val="0"/>
                        </a:ext>
                      </a:extLst>
                    </a:blip>
                    <a:srcRect t="6704"/>
                    <a:stretch/>
                  </pic:blipFill>
                  <pic:spPr bwMode="auto">
                    <a:xfrm>
                      <a:off x="0" y="0"/>
                      <a:ext cx="4288155" cy="2899346"/>
                    </a:xfrm>
                    <a:prstGeom prst="rect">
                      <a:avLst/>
                    </a:prstGeom>
                    <a:noFill/>
                    <a:ln>
                      <a:noFill/>
                    </a:ln>
                    <a:extLst>
                      <a:ext uri="{53640926-AAD7-44D8-BBD7-CCE9431645EC}">
                        <a14:shadowObscured xmlns:a14="http://schemas.microsoft.com/office/drawing/2010/main"/>
                      </a:ext>
                    </a:extLst>
                  </pic:spPr>
                </pic:pic>
              </a:graphicData>
            </a:graphic>
          </wp:inline>
        </w:drawing>
      </w:r>
    </w:p>
    <w:p w14:paraId="06768685" w14:textId="7A235F9C" w:rsidR="00173711" w:rsidRPr="00CA4E4C" w:rsidRDefault="00173711" w:rsidP="00C07B20">
      <w:pPr>
        <w:jc w:val="center"/>
        <w:rPr>
          <w:rFonts w:cs="Arial"/>
          <w:sz w:val="20"/>
        </w:rPr>
      </w:pPr>
      <w:r w:rsidRPr="00CA4E4C">
        <w:rPr>
          <w:rFonts w:cs="Arial"/>
          <w:szCs w:val="22"/>
        </w:rPr>
        <w:fldChar w:fldCharType="begin"/>
      </w:r>
      <w:r w:rsidRPr="00CA4E4C">
        <w:rPr>
          <w:rFonts w:cs="Arial"/>
          <w:szCs w:val="22"/>
        </w:rPr>
        <w:instrText xml:space="preserve"> LINK Excel.Sheet.12 "https://sempra-my.sharepoint.com/personal/abesa_semprautilities_com/Documents/abesa/2019%20Planning%20-%20EE%20ABAL/SDGE%20Draft%202019_ABAL_Budget%20and%20Savings.xlsx" "1a. IOU PY budget_savings!R4C1:R20C2" \a \f 5 \h  \* MERGEFORMAT </w:instrText>
      </w:r>
      <w:r w:rsidRPr="00CA4E4C">
        <w:rPr>
          <w:rFonts w:cs="Arial"/>
          <w:szCs w:val="22"/>
        </w:rPr>
        <w:fldChar w:fldCharType="separate"/>
      </w:r>
    </w:p>
    <w:p w14:paraId="0C134575" w14:textId="77777777" w:rsidR="001D73D7" w:rsidRPr="00CA4E4C" w:rsidRDefault="00173711" w:rsidP="00C07B20">
      <w:pPr>
        <w:jc w:val="center"/>
        <w:rPr>
          <w:rFonts w:cs="Arial"/>
          <w:szCs w:val="22"/>
        </w:rPr>
      </w:pPr>
      <w:r w:rsidRPr="00CA4E4C">
        <w:rPr>
          <w:rFonts w:cs="Arial"/>
          <w:szCs w:val="22"/>
        </w:rPr>
        <w:fldChar w:fldCharType="end"/>
      </w:r>
    </w:p>
    <w:p w14:paraId="5A5C4243" w14:textId="77777777" w:rsidR="004130F3" w:rsidRPr="00CA4E4C" w:rsidRDefault="00250AD4" w:rsidP="00250AD4">
      <w:pPr>
        <w:rPr>
          <w:rFonts w:cs="Arial"/>
          <w:szCs w:val="22"/>
        </w:rPr>
      </w:pPr>
      <w:r w:rsidRPr="00CA4E4C">
        <w:rPr>
          <w:rFonts w:cs="Arial"/>
          <w:szCs w:val="22"/>
        </w:rPr>
        <w:t>Note</w:t>
      </w:r>
      <w:r w:rsidR="00E321C4" w:rsidRPr="00CA4E4C">
        <w:rPr>
          <w:rFonts w:cs="Arial"/>
          <w:szCs w:val="22"/>
        </w:rPr>
        <w:t>s</w:t>
      </w:r>
      <w:r w:rsidRPr="00CA4E4C">
        <w:rPr>
          <w:rFonts w:cs="Arial"/>
          <w:szCs w:val="22"/>
        </w:rPr>
        <w:t>:</w:t>
      </w:r>
    </w:p>
    <w:p w14:paraId="2066FD5A" w14:textId="77777777" w:rsidR="00A53AAD" w:rsidRPr="00CA4E4C" w:rsidRDefault="00A53AAD" w:rsidP="00897E92">
      <w:pPr>
        <w:jc w:val="both"/>
        <w:rPr>
          <w:rFonts w:cs="Arial"/>
        </w:rPr>
      </w:pPr>
      <w:r w:rsidRPr="00CA4E4C">
        <w:rPr>
          <w:rFonts w:cs="Arial"/>
          <w:bCs/>
          <w:vertAlign w:val="superscript"/>
        </w:rPr>
        <w:t>1</w:t>
      </w:r>
      <w:r w:rsidRPr="00CA4E4C">
        <w:rPr>
          <w:rFonts w:cs="Arial"/>
          <w:bCs/>
        </w:rPr>
        <w:t xml:space="preserve"> </w:t>
      </w:r>
      <w:r w:rsidRPr="00CA4E4C">
        <w:rPr>
          <w:rFonts w:cs="Arial"/>
        </w:rPr>
        <w:t xml:space="preserve">SDG&amp;E notes that program funding related to the Financial Pilots originally approved in D.13-09-044 that has not been fully expensed due to implementation delays is considered “committed” funding and will be carried over into </w:t>
      </w:r>
      <w:r w:rsidR="002D2AE4" w:rsidRPr="00CA4E4C">
        <w:rPr>
          <w:rFonts w:cs="Arial"/>
        </w:rPr>
        <w:t>2019</w:t>
      </w:r>
      <w:r w:rsidRPr="00CA4E4C">
        <w:rPr>
          <w:rFonts w:cs="Arial"/>
        </w:rPr>
        <w:t xml:space="preserve">.  In addition, these funds are not included in the </w:t>
      </w:r>
      <w:r w:rsidR="002D2AE4" w:rsidRPr="00CA4E4C">
        <w:rPr>
          <w:rFonts w:cs="Arial"/>
        </w:rPr>
        <w:t xml:space="preserve">2019 </w:t>
      </w:r>
      <w:r w:rsidRPr="00CA4E4C">
        <w:rPr>
          <w:rFonts w:cs="Arial"/>
        </w:rPr>
        <w:t xml:space="preserve">EE </w:t>
      </w:r>
      <w:r w:rsidR="00FA79AF" w:rsidRPr="00CA4E4C">
        <w:rPr>
          <w:rFonts w:cs="Arial"/>
        </w:rPr>
        <w:t>P</w:t>
      </w:r>
      <w:r w:rsidRPr="00CA4E4C">
        <w:rPr>
          <w:rFonts w:cs="Arial"/>
        </w:rPr>
        <w:t>ortfolio as directed by D.17-03-026</w:t>
      </w:r>
      <w:r w:rsidR="00FA79AF" w:rsidRPr="00CA4E4C">
        <w:rPr>
          <w:rStyle w:val="FootnoteReference"/>
          <w:rFonts w:cs="Arial"/>
        </w:rPr>
        <w:footnoteReference w:id="9"/>
      </w:r>
      <w:r w:rsidRPr="00CA4E4C">
        <w:rPr>
          <w:rFonts w:cs="Arial"/>
        </w:rPr>
        <w:t>.</w:t>
      </w:r>
    </w:p>
    <w:p w14:paraId="2A122696" w14:textId="5416FCF9" w:rsidR="00173711" w:rsidRPr="00CA4E4C" w:rsidRDefault="00A53AAD" w:rsidP="00897E92">
      <w:pPr>
        <w:jc w:val="both"/>
        <w:rPr>
          <w:rFonts w:cs="Arial"/>
        </w:rPr>
      </w:pPr>
      <w:r w:rsidRPr="00CA4E4C">
        <w:rPr>
          <w:rFonts w:cs="Arial"/>
          <w:bCs/>
          <w:vertAlign w:val="superscript"/>
        </w:rPr>
        <w:t>2</w:t>
      </w:r>
      <w:r w:rsidRPr="00CA4E4C">
        <w:rPr>
          <w:rFonts w:cs="Arial"/>
          <w:bCs/>
        </w:rPr>
        <w:t xml:space="preserve"> SDG&amp;E's </w:t>
      </w:r>
      <w:r w:rsidR="00897E92" w:rsidRPr="00CA4E4C">
        <w:rPr>
          <w:rFonts w:cs="Arial"/>
          <w:bCs/>
        </w:rPr>
        <w:t>On-Bill Financing (</w:t>
      </w:r>
      <w:r w:rsidRPr="00CA4E4C">
        <w:rPr>
          <w:rFonts w:cs="Arial"/>
          <w:bCs/>
        </w:rPr>
        <w:t>OBF</w:t>
      </w:r>
      <w:r w:rsidR="00897E92" w:rsidRPr="00CA4E4C">
        <w:rPr>
          <w:rFonts w:cs="Arial"/>
          <w:bCs/>
        </w:rPr>
        <w:t>)</w:t>
      </w:r>
      <w:r w:rsidRPr="00CA4E4C">
        <w:rPr>
          <w:rFonts w:cs="Arial"/>
          <w:bCs/>
        </w:rPr>
        <w:t xml:space="preserve"> Loan Pool</w:t>
      </w:r>
      <w:r w:rsidR="00C9047A" w:rsidRPr="00CA4E4C">
        <w:rPr>
          <w:rFonts w:cs="Arial"/>
          <w:bCs/>
        </w:rPr>
        <w:t xml:space="preserve"> </w:t>
      </w:r>
      <w:r w:rsidRPr="00CA4E4C">
        <w:rPr>
          <w:rFonts w:cs="Arial"/>
          <w:bCs/>
        </w:rPr>
        <w:t xml:space="preserve">is not included in the EE Portfolio budget.  It is collected </w:t>
      </w:r>
      <w:r w:rsidR="00C9047A" w:rsidRPr="00CA4E4C">
        <w:rPr>
          <w:rFonts w:cs="Arial"/>
          <w:bCs/>
        </w:rPr>
        <w:t xml:space="preserve">and tracked separately </w:t>
      </w:r>
      <w:r w:rsidRPr="00CA4E4C">
        <w:rPr>
          <w:rFonts w:cs="Arial"/>
          <w:bCs/>
        </w:rPr>
        <w:t xml:space="preserve">through its </w:t>
      </w:r>
      <w:r w:rsidR="00897E92" w:rsidRPr="00CA4E4C">
        <w:rPr>
          <w:rFonts w:cs="Arial"/>
          <w:bCs/>
        </w:rPr>
        <w:t xml:space="preserve">electric and gas OBF </w:t>
      </w:r>
      <w:r w:rsidRPr="00CA4E4C">
        <w:rPr>
          <w:rFonts w:cs="Arial"/>
          <w:bCs/>
        </w:rPr>
        <w:t>Balancing Accounts</w:t>
      </w:r>
      <w:r w:rsidR="00897E92" w:rsidRPr="00CA4E4C">
        <w:rPr>
          <w:rFonts w:cs="Arial"/>
          <w:bCs/>
        </w:rPr>
        <w:t xml:space="preserve">.  </w:t>
      </w:r>
      <w:r w:rsidR="002D2AE4" w:rsidRPr="00CA4E4C">
        <w:rPr>
          <w:rFonts w:cs="Arial"/>
          <w:bCs/>
        </w:rPr>
        <w:t xml:space="preserve">SDG&amp;E’s authorized budget for its OBF loan </w:t>
      </w:r>
      <w:r w:rsidR="002D2AE4" w:rsidRPr="00CA4E4C">
        <w:rPr>
          <w:rFonts w:cs="Arial"/>
        </w:rPr>
        <w:t xml:space="preserve">pool is </w:t>
      </w:r>
      <w:r w:rsidR="00C9047A" w:rsidRPr="00CA4E4C">
        <w:rPr>
          <w:rFonts w:cs="Arial"/>
        </w:rPr>
        <w:t>of $26,003,565</w:t>
      </w:r>
      <w:r w:rsidR="00897E92" w:rsidRPr="00CA4E4C">
        <w:rPr>
          <w:rFonts w:cs="Arial"/>
        </w:rPr>
        <w:t>.</w:t>
      </w:r>
    </w:p>
    <w:p w14:paraId="155F0783" w14:textId="77777777" w:rsidR="004A538A" w:rsidRPr="00CA4E4C" w:rsidRDefault="004A538A" w:rsidP="00F044E8">
      <w:pPr>
        <w:rPr>
          <w:rFonts w:cs="Arial"/>
          <w:b/>
        </w:rPr>
      </w:pPr>
    </w:p>
    <w:p w14:paraId="79AFD6D9" w14:textId="11FAA3F1" w:rsidR="005179C2" w:rsidRPr="00CA4E4C" w:rsidRDefault="006634EB" w:rsidP="005179C2">
      <w:pPr>
        <w:pStyle w:val="Heading3"/>
        <w:ind w:hanging="720"/>
        <w:rPr>
          <w:rFonts w:cs="Arial"/>
          <w:szCs w:val="22"/>
          <w:u w:val="single"/>
        </w:rPr>
      </w:pPr>
      <w:r w:rsidRPr="00CA4E4C">
        <w:rPr>
          <w:rFonts w:cs="Arial"/>
          <w:szCs w:val="22"/>
        </w:rPr>
        <w:t>B</w:t>
      </w:r>
      <w:r w:rsidR="005179C2" w:rsidRPr="00CA4E4C">
        <w:rPr>
          <w:rFonts w:cs="Arial"/>
          <w:szCs w:val="22"/>
        </w:rPr>
        <w:t xml:space="preserve">. </w:t>
      </w:r>
      <w:r w:rsidR="005179C2" w:rsidRPr="00CA4E4C">
        <w:rPr>
          <w:rFonts w:cs="Arial"/>
          <w:szCs w:val="22"/>
        </w:rPr>
        <w:tab/>
      </w:r>
      <w:r w:rsidR="005179C2" w:rsidRPr="00CA4E4C">
        <w:rPr>
          <w:rFonts w:cs="Arial"/>
          <w:szCs w:val="22"/>
          <w:u w:val="single"/>
        </w:rPr>
        <w:t>20</w:t>
      </w:r>
      <w:r w:rsidR="006E7C08" w:rsidRPr="00CA4E4C">
        <w:rPr>
          <w:rFonts w:cs="Arial"/>
          <w:szCs w:val="22"/>
          <w:u w:val="single"/>
        </w:rPr>
        <w:t>20</w:t>
      </w:r>
      <w:r w:rsidR="005179C2" w:rsidRPr="00CA4E4C">
        <w:rPr>
          <w:rFonts w:cs="Arial"/>
          <w:szCs w:val="22"/>
          <w:u w:val="single"/>
        </w:rPr>
        <w:t xml:space="preserve"> Integrated Demand Side Management (IDSM) Programs and Budgets</w:t>
      </w:r>
    </w:p>
    <w:p w14:paraId="69D22DC1" w14:textId="77777777" w:rsidR="005179C2" w:rsidRPr="00CA4E4C" w:rsidRDefault="005179C2" w:rsidP="005179C2">
      <w:pPr>
        <w:jc w:val="both"/>
        <w:rPr>
          <w:rFonts w:cs="Arial"/>
          <w:szCs w:val="22"/>
        </w:rPr>
      </w:pPr>
    </w:p>
    <w:p w14:paraId="3F3226BF" w14:textId="77777777" w:rsidR="005179C2" w:rsidRPr="00CA4E4C" w:rsidRDefault="0038038D" w:rsidP="005179C2">
      <w:pPr>
        <w:jc w:val="both"/>
        <w:rPr>
          <w:rFonts w:cs="Arial"/>
          <w:szCs w:val="22"/>
        </w:rPr>
      </w:pPr>
      <w:r w:rsidRPr="00CA4E4C">
        <w:rPr>
          <w:rFonts w:cs="Arial"/>
          <w:szCs w:val="22"/>
        </w:rPr>
        <w:t xml:space="preserve">Table 3 shows </w:t>
      </w:r>
      <w:r w:rsidR="005179C2" w:rsidRPr="00CA4E4C">
        <w:rPr>
          <w:rFonts w:cs="Arial"/>
          <w:szCs w:val="22"/>
        </w:rPr>
        <w:t>the specific programs and budgets associated with the 2019 Demand Response Program approved budget.  These strategies are in response to directions provided by D.18-05-041.</w:t>
      </w:r>
    </w:p>
    <w:p w14:paraId="02053ADE" w14:textId="77777777" w:rsidR="005179C2" w:rsidRPr="00CA4E4C" w:rsidRDefault="005179C2" w:rsidP="005179C2">
      <w:pPr>
        <w:jc w:val="both"/>
        <w:rPr>
          <w:rFonts w:cs="Arial"/>
          <w:szCs w:val="22"/>
        </w:rPr>
      </w:pPr>
    </w:p>
    <w:p w14:paraId="1DB00315" w14:textId="17D7B3E3" w:rsidR="005179C2" w:rsidRPr="00CA4E4C" w:rsidRDefault="005179C2" w:rsidP="00897E92">
      <w:pPr>
        <w:pStyle w:val="Heading3"/>
        <w:keepLines/>
        <w:jc w:val="center"/>
        <w:rPr>
          <w:rFonts w:cs="Arial"/>
        </w:rPr>
      </w:pPr>
      <w:r w:rsidRPr="00FF16D3">
        <w:rPr>
          <w:rFonts w:cs="Arial"/>
          <w:szCs w:val="22"/>
          <w:highlight w:val="yellow"/>
        </w:rPr>
        <w:t xml:space="preserve">Table </w:t>
      </w:r>
      <w:r w:rsidR="006634EB" w:rsidRPr="00FF16D3">
        <w:rPr>
          <w:rFonts w:cs="Arial"/>
          <w:szCs w:val="22"/>
          <w:highlight w:val="yellow"/>
        </w:rPr>
        <w:t>3</w:t>
      </w:r>
      <w:r w:rsidRPr="00FF16D3">
        <w:rPr>
          <w:rFonts w:cs="Arial"/>
          <w:szCs w:val="22"/>
          <w:highlight w:val="yellow"/>
        </w:rPr>
        <w:t>: SDG&amp;E 20</w:t>
      </w:r>
      <w:r w:rsidR="006E7C08" w:rsidRPr="00FF16D3">
        <w:rPr>
          <w:rFonts w:cs="Arial"/>
          <w:szCs w:val="22"/>
          <w:highlight w:val="yellow"/>
        </w:rPr>
        <w:t>20</w:t>
      </w:r>
      <w:r w:rsidRPr="00FF16D3">
        <w:rPr>
          <w:rFonts w:cs="Arial"/>
          <w:szCs w:val="22"/>
          <w:highlight w:val="yellow"/>
        </w:rPr>
        <w:t xml:space="preserve"> IDSM Program Budgets</w:t>
      </w:r>
    </w:p>
    <w:p w14:paraId="04730B76" w14:textId="7E364319" w:rsidR="005179C2" w:rsidRPr="00CA4E4C" w:rsidRDefault="00E10E72" w:rsidP="00897E92">
      <w:pPr>
        <w:keepNext/>
        <w:keepLines/>
        <w:rPr>
          <w:rFonts w:cs="Arial"/>
          <w:szCs w:val="22"/>
        </w:rPr>
      </w:pPr>
      <w:r w:rsidRPr="00E10E72">
        <w:rPr>
          <w:rFonts w:cs="Arial"/>
          <w:szCs w:val="22"/>
          <w:highlight w:val="yellow"/>
        </w:rPr>
        <w:t>TBD</w:t>
      </w:r>
    </w:p>
    <w:p w14:paraId="6E739405" w14:textId="479600B4" w:rsidR="00297A9B" w:rsidRPr="00CA4E4C" w:rsidRDefault="00297A9B" w:rsidP="00897E92">
      <w:pPr>
        <w:keepNext/>
        <w:keepLines/>
        <w:rPr>
          <w:rFonts w:cs="Arial"/>
        </w:rPr>
      </w:pPr>
    </w:p>
    <w:p w14:paraId="64C1583D" w14:textId="77777777" w:rsidR="00897E92" w:rsidRPr="00CA4E4C" w:rsidRDefault="00897E92" w:rsidP="00897E92">
      <w:pPr>
        <w:keepNext/>
        <w:keepLines/>
        <w:rPr>
          <w:rFonts w:cs="Arial"/>
        </w:rPr>
      </w:pPr>
    </w:p>
    <w:p w14:paraId="1E21BD23" w14:textId="73373B1F" w:rsidR="00BF6054" w:rsidRPr="00CA4E4C" w:rsidRDefault="00293697" w:rsidP="00FB70FE">
      <w:pPr>
        <w:rPr>
          <w:rFonts w:cs="Arial"/>
          <w:b/>
          <w:szCs w:val="22"/>
        </w:rPr>
      </w:pPr>
      <w:r w:rsidRPr="00FF16D3">
        <w:rPr>
          <w:rFonts w:cs="Arial"/>
          <w:b/>
          <w:szCs w:val="22"/>
          <w:highlight w:val="yellow"/>
        </w:rPr>
        <w:t xml:space="preserve">C. </w:t>
      </w:r>
      <w:r w:rsidR="000152AC" w:rsidRPr="00FF16D3">
        <w:rPr>
          <w:rFonts w:cs="Arial"/>
          <w:b/>
          <w:szCs w:val="22"/>
          <w:highlight w:val="yellow"/>
        </w:rPr>
        <w:tab/>
      </w:r>
      <w:r w:rsidR="00BF6054" w:rsidRPr="00FF16D3">
        <w:rPr>
          <w:rFonts w:cs="Arial"/>
          <w:b/>
          <w:szCs w:val="22"/>
          <w:highlight w:val="yellow"/>
          <w:u w:val="single"/>
        </w:rPr>
        <w:t>Revenue Requirements</w:t>
      </w:r>
    </w:p>
    <w:p w14:paraId="0F619F8A" w14:textId="77777777" w:rsidR="00BF6054" w:rsidRPr="00CA4E4C" w:rsidRDefault="00BF6054" w:rsidP="000152AC">
      <w:pPr>
        <w:jc w:val="both"/>
        <w:rPr>
          <w:rFonts w:cs="Arial"/>
          <w:szCs w:val="22"/>
        </w:rPr>
      </w:pPr>
    </w:p>
    <w:p w14:paraId="2F323C79" w14:textId="64A92A07" w:rsidR="003E5984" w:rsidRPr="00CA4E4C" w:rsidRDefault="00FA79AF" w:rsidP="00897E92">
      <w:pPr>
        <w:jc w:val="both"/>
        <w:rPr>
          <w:rFonts w:cs="Arial"/>
        </w:rPr>
      </w:pPr>
      <w:r w:rsidRPr="00CA4E4C">
        <w:rPr>
          <w:rFonts w:cs="Arial"/>
        </w:rPr>
        <w:lastRenderedPageBreak/>
        <w:t>SDG&amp;E provides</w:t>
      </w:r>
      <w:r w:rsidR="00293697" w:rsidRPr="00CA4E4C">
        <w:rPr>
          <w:rFonts w:cs="Arial"/>
        </w:rPr>
        <w:t xml:space="preserve"> its estimated </w:t>
      </w:r>
      <w:r w:rsidR="00EB6A0E" w:rsidRPr="00CA4E4C">
        <w:rPr>
          <w:rFonts w:cs="Arial"/>
        </w:rPr>
        <w:t>20</w:t>
      </w:r>
      <w:r w:rsidR="00DA1EB6" w:rsidRPr="00CA4E4C">
        <w:rPr>
          <w:rFonts w:cs="Arial"/>
        </w:rPr>
        <w:t>20</w:t>
      </w:r>
      <w:r w:rsidR="00EB6A0E" w:rsidRPr="00CA4E4C">
        <w:rPr>
          <w:rFonts w:cs="Arial"/>
        </w:rPr>
        <w:t xml:space="preserve"> </w:t>
      </w:r>
      <w:r w:rsidR="00965227" w:rsidRPr="00CA4E4C">
        <w:rPr>
          <w:rFonts w:cs="Arial"/>
        </w:rPr>
        <w:t xml:space="preserve">electric and gas </w:t>
      </w:r>
      <w:r w:rsidR="00EB6A0E" w:rsidRPr="00CA4E4C">
        <w:rPr>
          <w:rFonts w:cs="Arial"/>
        </w:rPr>
        <w:t xml:space="preserve">proposed average rate changes and </w:t>
      </w:r>
      <w:r w:rsidR="00965227" w:rsidRPr="00CA4E4C">
        <w:rPr>
          <w:rFonts w:cs="Arial"/>
        </w:rPr>
        <w:t xml:space="preserve">revenue requirement </w:t>
      </w:r>
      <w:r w:rsidR="00895019" w:rsidRPr="00CA4E4C">
        <w:rPr>
          <w:rFonts w:cs="Arial"/>
        </w:rPr>
        <w:t xml:space="preserve">changes </w:t>
      </w:r>
      <w:r w:rsidR="00090589" w:rsidRPr="00CA4E4C">
        <w:rPr>
          <w:rFonts w:cs="Arial"/>
        </w:rPr>
        <w:t xml:space="preserve">Table </w:t>
      </w:r>
      <w:r w:rsidR="00B113FC">
        <w:rPr>
          <w:rFonts w:cs="Arial"/>
        </w:rPr>
        <w:t>4</w:t>
      </w:r>
      <w:r w:rsidR="00D07EFA" w:rsidRPr="00CA4E4C">
        <w:rPr>
          <w:rFonts w:cs="Arial"/>
        </w:rPr>
        <w:t xml:space="preserve"> and </w:t>
      </w:r>
      <w:r w:rsidR="00B113FC">
        <w:rPr>
          <w:rFonts w:cs="Arial"/>
        </w:rPr>
        <w:t>5</w:t>
      </w:r>
      <w:r w:rsidR="00D07EFA" w:rsidRPr="00CA4E4C">
        <w:rPr>
          <w:rFonts w:cs="Arial"/>
        </w:rPr>
        <w:t xml:space="preserve"> respectively</w:t>
      </w:r>
      <w:r w:rsidR="00293697" w:rsidRPr="00CA4E4C">
        <w:rPr>
          <w:rFonts w:cs="Arial"/>
        </w:rPr>
        <w:t xml:space="preserve">.  </w:t>
      </w:r>
    </w:p>
    <w:p w14:paraId="3546CD28" w14:textId="77777777" w:rsidR="003E5984" w:rsidRPr="00CA4E4C" w:rsidRDefault="003E5984" w:rsidP="000152AC">
      <w:pPr>
        <w:jc w:val="both"/>
        <w:rPr>
          <w:rFonts w:cs="Arial"/>
          <w:szCs w:val="22"/>
        </w:rPr>
      </w:pPr>
    </w:p>
    <w:p w14:paraId="78393588" w14:textId="77777777" w:rsidR="00EB6A0E" w:rsidRPr="00CA4E4C" w:rsidRDefault="00EB6A0E" w:rsidP="00EB6A0E">
      <w:pPr>
        <w:pStyle w:val="Heading3"/>
        <w:jc w:val="center"/>
        <w:rPr>
          <w:rFonts w:cs="Arial"/>
        </w:rPr>
      </w:pPr>
      <w:bookmarkStart w:id="2" w:name="_Hlk523288892"/>
      <w:r w:rsidRPr="00FF16D3">
        <w:rPr>
          <w:rFonts w:cs="Arial"/>
          <w:szCs w:val="22"/>
          <w:highlight w:val="yellow"/>
        </w:rPr>
        <w:t>Table 4: SDG&amp;E Estimated Electric Rate impacts</w:t>
      </w:r>
    </w:p>
    <w:bookmarkEnd w:id="2"/>
    <w:p w14:paraId="45C79B3A" w14:textId="77777777" w:rsidR="00EB6A0E" w:rsidRPr="00CA4E4C" w:rsidRDefault="00EB6A0E" w:rsidP="000152AC">
      <w:pPr>
        <w:jc w:val="both"/>
        <w:rPr>
          <w:rFonts w:cs="Arial"/>
          <w:szCs w:val="22"/>
        </w:rPr>
      </w:pPr>
    </w:p>
    <w:p w14:paraId="159AE933" w14:textId="009B35CC" w:rsidR="00A578AD" w:rsidRPr="00CA4E4C" w:rsidRDefault="003D4145" w:rsidP="000152AC">
      <w:pPr>
        <w:jc w:val="both"/>
        <w:rPr>
          <w:rFonts w:cs="Arial"/>
          <w:szCs w:val="22"/>
        </w:rPr>
      </w:pPr>
      <w:r w:rsidRPr="00CA4E4C">
        <w:rPr>
          <w:rFonts w:cs="Arial"/>
          <w:szCs w:val="22"/>
          <w:highlight w:val="yellow"/>
        </w:rPr>
        <w:t>TBD</w:t>
      </w:r>
    </w:p>
    <w:p w14:paraId="72F0F6EE" w14:textId="77777777" w:rsidR="00A578AD" w:rsidRPr="00CA4E4C" w:rsidRDefault="00A578AD" w:rsidP="000152AC">
      <w:pPr>
        <w:jc w:val="both"/>
        <w:rPr>
          <w:rFonts w:cs="Arial"/>
          <w:szCs w:val="22"/>
        </w:rPr>
      </w:pPr>
    </w:p>
    <w:p w14:paraId="633B7410" w14:textId="77777777" w:rsidR="00965227" w:rsidRPr="00CA4E4C" w:rsidRDefault="00965227" w:rsidP="00897E92">
      <w:pPr>
        <w:pStyle w:val="Heading3"/>
        <w:keepLines/>
        <w:jc w:val="center"/>
        <w:rPr>
          <w:rFonts w:cs="Arial"/>
        </w:rPr>
      </w:pPr>
      <w:r w:rsidRPr="00FF16D3">
        <w:rPr>
          <w:rFonts w:cs="Arial"/>
          <w:szCs w:val="22"/>
          <w:highlight w:val="yellow"/>
        </w:rPr>
        <w:t>Table 5: SDG&amp;E Estimated Natural Gas Rate impacts</w:t>
      </w:r>
    </w:p>
    <w:p w14:paraId="7AE08883" w14:textId="77777777" w:rsidR="00EB6A0E" w:rsidRPr="00CA4E4C" w:rsidRDefault="00EB6A0E" w:rsidP="00897E92">
      <w:pPr>
        <w:keepNext/>
        <w:keepLines/>
        <w:jc w:val="both"/>
        <w:rPr>
          <w:rFonts w:cs="Arial"/>
          <w:szCs w:val="22"/>
        </w:rPr>
      </w:pPr>
    </w:p>
    <w:p w14:paraId="12E20FB7" w14:textId="08EF2BFE" w:rsidR="00895019" w:rsidRPr="00CA4E4C" w:rsidRDefault="003D4145" w:rsidP="00897E92">
      <w:pPr>
        <w:keepNext/>
        <w:keepLines/>
        <w:jc w:val="both"/>
        <w:rPr>
          <w:rFonts w:cs="Arial"/>
          <w:szCs w:val="22"/>
        </w:rPr>
      </w:pPr>
      <w:r w:rsidRPr="00CA4E4C">
        <w:rPr>
          <w:rFonts w:cs="Arial"/>
          <w:szCs w:val="22"/>
          <w:highlight w:val="yellow"/>
        </w:rPr>
        <w:t>TBD</w:t>
      </w:r>
    </w:p>
    <w:p w14:paraId="0581985B" w14:textId="77777777" w:rsidR="00895019" w:rsidRPr="00CA4E4C" w:rsidRDefault="00895019" w:rsidP="000152AC">
      <w:pPr>
        <w:jc w:val="both"/>
        <w:rPr>
          <w:rFonts w:cs="Arial"/>
          <w:szCs w:val="22"/>
        </w:rPr>
      </w:pPr>
    </w:p>
    <w:p w14:paraId="6F9A6E48" w14:textId="1C62B65E" w:rsidR="00293697" w:rsidRPr="00CA4E4C" w:rsidRDefault="00293697" w:rsidP="00154E0F">
      <w:pPr>
        <w:jc w:val="both"/>
        <w:rPr>
          <w:rFonts w:cs="Arial"/>
        </w:rPr>
      </w:pPr>
      <w:r w:rsidRPr="00CA4E4C">
        <w:rPr>
          <w:rFonts w:cs="Arial"/>
        </w:rPr>
        <w:t xml:space="preserve">The final </w:t>
      </w:r>
      <w:r w:rsidR="00E321C4" w:rsidRPr="00CA4E4C">
        <w:rPr>
          <w:rFonts w:cs="Arial"/>
        </w:rPr>
        <w:t xml:space="preserve">gas </w:t>
      </w:r>
      <w:r w:rsidRPr="00CA4E4C">
        <w:rPr>
          <w:rFonts w:cs="Arial"/>
        </w:rPr>
        <w:t xml:space="preserve">and electric EE revenue requirements will be incorporated in </w:t>
      </w:r>
      <w:r w:rsidR="00D07EFA" w:rsidRPr="00CA4E4C">
        <w:rPr>
          <w:rFonts w:cs="Arial"/>
        </w:rPr>
        <w:t xml:space="preserve">SDG&amp;E’s </w:t>
      </w:r>
      <w:r w:rsidRPr="00CA4E4C">
        <w:rPr>
          <w:rFonts w:cs="Arial"/>
        </w:rPr>
        <w:t xml:space="preserve">annual </w:t>
      </w:r>
      <w:r w:rsidR="00EB6A0E" w:rsidRPr="00CA4E4C">
        <w:rPr>
          <w:rFonts w:cs="Arial"/>
        </w:rPr>
        <w:t xml:space="preserve">Electric </w:t>
      </w:r>
      <w:r w:rsidRPr="00CA4E4C">
        <w:rPr>
          <w:rFonts w:cs="Arial"/>
        </w:rPr>
        <w:t xml:space="preserve">and </w:t>
      </w:r>
      <w:r w:rsidR="00EB6A0E" w:rsidRPr="00CA4E4C">
        <w:rPr>
          <w:rFonts w:cs="Arial"/>
        </w:rPr>
        <w:t>Public Purpose Programs Rates</w:t>
      </w:r>
      <w:r w:rsidR="00535E8C" w:rsidRPr="00CA4E4C">
        <w:rPr>
          <w:rFonts w:cs="Arial"/>
        </w:rPr>
        <w:t xml:space="preserve"> </w:t>
      </w:r>
      <w:r w:rsidRPr="00CA4E4C">
        <w:rPr>
          <w:rFonts w:cs="Arial"/>
        </w:rPr>
        <w:t>advice letter</w:t>
      </w:r>
      <w:r w:rsidR="00EB6A0E" w:rsidRPr="00CA4E4C">
        <w:rPr>
          <w:rFonts w:cs="Arial"/>
        </w:rPr>
        <w:t xml:space="preserve"> and the Public Purpose Program Gas Surcharge Rates advice letter</w:t>
      </w:r>
      <w:r w:rsidR="006B4449" w:rsidRPr="00CA4E4C">
        <w:rPr>
          <w:rFonts w:cs="Arial"/>
        </w:rPr>
        <w:t>,</w:t>
      </w:r>
      <w:r w:rsidRPr="00CA4E4C">
        <w:rPr>
          <w:rFonts w:cs="Arial"/>
        </w:rPr>
        <w:t xml:space="preserve"> which will be filed </w:t>
      </w:r>
      <w:r w:rsidR="00656171" w:rsidRPr="00CA4E4C">
        <w:rPr>
          <w:rFonts w:cs="Arial"/>
        </w:rPr>
        <w:t>in the last quarter of 201</w:t>
      </w:r>
      <w:r w:rsidR="00DA1EB6" w:rsidRPr="00CA4E4C">
        <w:rPr>
          <w:rFonts w:cs="Arial"/>
        </w:rPr>
        <w:t>9</w:t>
      </w:r>
      <w:r w:rsidRPr="00CA4E4C">
        <w:rPr>
          <w:rFonts w:cs="Arial"/>
        </w:rPr>
        <w:t>.</w:t>
      </w:r>
    </w:p>
    <w:p w14:paraId="1285BF16" w14:textId="77777777" w:rsidR="00BF6054" w:rsidRPr="00CA4E4C" w:rsidRDefault="00BF6054" w:rsidP="000152AC">
      <w:pPr>
        <w:jc w:val="both"/>
        <w:rPr>
          <w:rFonts w:cs="Arial"/>
          <w:szCs w:val="22"/>
        </w:rPr>
      </w:pPr>
    </w:p>
    <w:p w14:paraId="30007D72" w14:textId="77777777" w:rsidR="00C07B20" w:rsidRPr="00CA4E4C" w:rsidRDefault="00C07B20" w:rsidP="00CD3280">
      <w:pPr>
        <w:pStyle w:val="Heading1"/>
        <w:jc w:val="left"/>
      </w:pPr>
      <w:r w:rsidRPr="00CA4E4C">
        <w:t xml:space="preserve">SDG&amp;E </w:t>
      </w:r>
      <w:r w:rsidR="007A17FB" w:rsidRPr="00CA4E4C">
        <w:t xml:space="preserve">Requested </w:t>
      </w:r>
      <w:r w:rsidRPr="00CA4E4C">
        <w:t>Portfolio Energy Savings Goals and Cost Effectiveness</w:t>
      </w:r>
    </w:p>
    <w:p w14:paraId="1DD938B6" w14:textId="77777777" w:rsidR="00C07B20" w:rsidRPr="00CA4E4C" w:rsidRDefault="00C07B20" w:rsidP="000152AC">
      <w:pPr>
        <w:jc w:val="both"/>
        <w:rPr>
          <w:rFonts w:cs="Arial"/>
          <w:szCs w:val="22"/>
          <w:highlight w:val="yellow"/>
        </w:rPr>
      </w:pPr>
    </w:p>
    <w:p w14:paraId="01DC8F8F" w14:textId="7979A04E" w:rsidR="00897E92" w:rsidRPr="00CA4E4C" w:rsidRDefault="00C07B20" w:rsidP="000152AC">
      <w:pPr>
        <w:jc w:val="both"/>
        <w:rPr>
          <w:rFonts w:cs="Arial"/>
          <w:szCs w:val="22"/>
        </w:rPr>
      </w:pPr>
      <w:r w:rsidRPr="00CA4E4C">
        <w:rPr>
          <w:rFonts w:cs="Arial"/>
          <w:szCs w:val="22"/>
        </w:rPr>
        <w:t>SDG&amp;E provides in the following tables</w:t>
      </w:r>
      <w:r w:rsidR="00F25754" w:rsidRPr="00CA4E4C">
        <w:rPr>
          <w:rFonts w:cs="Arial"/>
          <w:szCs w:val="22"/>
        </w:rPr>
        <w:t xml:space="preserve"> </w:t>
      </w:r>
      <w:r w:rsidRPr="00CA4E4C">
        <w:rPr>
          <w:rFonts w:cs="Arial"/>
          <w:szCs w:val="22"/>
        </w:rPr>
        <w:t xml:space="preserve">its </w:t>
      </w:r>
      <w:r w:rsidR="00E67410" w:rsidRPr="00CA4E4C">
        <w:rPr>
          <w:rFonts w:cs="Arial"/>
          <w:szCs w:val="22"/>
        </w:rPr>
        <w:t xml:space="preserve">forecasted </w:t>
      </w:r>
      <w:r w:rsidRPr="00CA4E4C">
        <w:rPr>
          <w:rFonts w:cs="Arial"/>
          <w:szCs w:val="22"/>
        </w:rPr>
        <w:t>energy savings goals/targets</w:t>
      </w:r>
      <w:r w:rsidR="004A538A" w:rsidRPr="00CA4E4C">
        <w:rPr>
          <w:rFonts w:cs="Arial"/>
          <w:szCs w:val="22"/>
        </w:rPr>
        <w:t xml:space="preserve"> and</w:t>
      </w:r>
      <w:r w:rsidR="00CF0959" w:rsidRPr="00CA4E4C">
        <w:rPr>
          <w:rFonts w:cs="Arial"/>
          <w:szCs w:val="22"/>
        </w:rPr>
        <w:t xml:space="preserve"> portfolio cost </w:t>
      </w:r>
      <w:r w:rsidRPr="00CA4E4C">
        <w:rPr>
          <w:rFonts w:cs="Arial"/>
          <w:szCs w:val="22"/>
        </w:rPr>
        <w:t>effectiveness.</w:t>
      </w:r>
    </w:p>
    <w:p w14:paraId="5865AF5D" w14:textId="53711920" w:rsidR="02EF8369" w:rsidRPr="00B75675" w:rsidRDefault="02EF8369" w:rsidP="00021CA2">
      <w:pPr>
        <w:jc w:val="center"/>
        <w:rPr>
          <w:rFonts w:cs="Arial"/>
          <w:b/>
          <w:bCs/>
          <w:highlight w:val="yellow"/>
        </w:rPr>
      </w:pPr>
    </w:p>
    <w:p w14:paraId="1571D782" w14:textId="73200646" w:rsidR="000C30F5" w:rsidRPr="00FF16D3" w:rsidRDefault="000C30F5">
      <w:pPr>
        <w:widowControl w:val="0"/>
        <w:jc w:val="center"/>
        <w:rPr>
          <w:rFonts w:cs="Arial"/>
          <w:b/>
          <w:color w:val="000000"/>
        </w:rPr>
      </w:pPr>
      <w:r w:rsidRPr="00FF16D3">
        <w:rPr>
          <w:rFonts w:cs="Arial"/>
          <w:b/>
        </w:rPr>
        <w:t xml:space="preserve">Table </w:t>
      </w:r>
      <w:r w:rsidR="00FF16D3" w:rsidRPr="00FF16D3">
        <w:rPr>
          <w:rFonts w:cs="Arial"/>
          <w:b/>
        </w:rPr>
        <w:t>6</w:t>
      </w:r>
      <w:r w:rsidRPr="00FF16D3">
        <w:rPr>
          <w:rFonts w:cs="Arial"/>
          <w:b/>
        </w:rPr>
        <w:t xml:space="preserve">: </w:t>
      </w:r>
      <w:r w:rsidR="00EB6782" w:rsidRPr="00FF16D3">
        <w:rPr>
          <w:rFonts w:cs="Arial"/>
          <w:b/>
          <w:color w:val="000000"/>
        </w:rPr>
        <w:t>20</w:t>
      </w:r>
      <w:r w:rsidR="00D97011" w:rsidRPr="00FF16D3">
        <w:rPr>
          <w:rFonts w:cs="Arial"/>
          <w:b/>
          <w:color w:val="000000"/>
        </w:rPr>
        <w:t>20</w:t>
      </w:r>
      <w:r w:rsidR="00EB6782" w:rsidRPr="00FF16D3">
        <w:rPr>
          <w:rFonts w:cs="Arial"/>
          <w:b/>
          <w:color w:val="000000"/>
        </w:rPr>
        <w:t xml:space="preserve"> </w:t>
      </w:r>
      <w:r w:rsidRPr="00FF16D3">
        <w:rPr>
          <w:rFonts w:cs="Arial"/>
          <w:b/>
          <w:color w:val="000000"/>
        </w:rPr>
        <w:t>EE Portfolio Energy Savings Goals &amp; Targets</w:t>
      </w:r>
    </w:p>
    <w:p w14:paraId="58ACDF75" w14:textId="4EF7C68F" w:rsidR="00CF4F2E" w:rsidRPr="00B75675" w:rsidRDefault="00CF4F2E">
      <w:pPr>
        <w:keepNext/>
        <w:keepLines/>
        <w:jc w:val="center"/>
        <w:rPr>
          <w:rFonts w:cs="Arial"/>
          <w:b/>
          <w:bCs/>
          <w:highlight w:val="cyan"/>
        </w:rPr>
      </w:pPr>
    </w:p>
    <w:p w14:paraId="2DC13823" w14:textId="6F27F1FC" w:rsidR="02EF8369" w:rsidRPr="00CA4E4C" w:rsidRDefault="00897A86" w:rsidP="00021CA2">
      <w:pPr>
        <w:jc w:val="center"/>
        <w:rPr>
          <w:rFonts w:cs="Arial"/>
        </w:rPr>
      </w:pPr>
      <w:r>
        <w:rPr>
          <w:noProof/>
        </w:rPr>
        <w:drawing>
          <wp:inline distT="0" distB="0" distL="0" distR="0" wp14:anchorId="63E349E2" wp14:editId="1A454EDF">
            <wp:extent cx="4253697" cy="2391727"/>
            <wp:effectExtent l="0" t="0" r="0" b="8890"/>
            <wp:docPr id="3" name="Picture 3" descr="cid:image001.png@01D546F3.7A2BB6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546F3.7A2BB660"/>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4277578" cy="2405155"/>
                    </a:xfrm>
                    <a:prstGeom prst="rect">
                      <a:avLst/>
                    </a:prstGeom>
                    <a:noFill/>
                    <a:ln>
                      <a:noFill/>
                    </a:ln>
                  </pic:spPr>
                </pic:pic>
              </a:graphicData>
            </a:graphic>
          </wp:inline>
        </w:drawing>
      </w:r>
    </w:p>
    <w:p w14:paraId="128937F7" w14:textId="6F080B8A" w:rsidR="00EC41D7" w:rsidRPr="00CA4E4C" w:rsidRDefault="00EC41D7" w:rsidP="7FAEE2EF">
      <w:pPr>
        <w:keepNext/>
        <w:keepLines/>
        <w:jc w:val="center"/>
        <w:rPr>
          <w:rFonts w:cs="Arial"/>
          <w:b/>
          <w:szCs w:val="22"/>
        </w:rPr>
      </w:pPr>
    </w:p>
    <w:p w14:paraId="4575E450" w14:textId="77777777" w:rsidR="00EC41D7" w:rsidRPr="00CA4E4C" w:rsidRDefault="00EC41D7" w:rsidP="00293697">
      <w:pPr>
        <w:keepNext/>
        <w:keepLines/>
        <w:jc w:val="center"/>
        <w:rPr>
          <w:rFonts w:cs="Arial"/>
          <w:b/>
          <w:szCs w:val="22"/>
        </w:rPr>
      </w:pPr>
    </w:p>
    <w:p w14:paraId="7219F621" w14:textId="02B3A8E2" w:rsidR="00630D3D" w:rsidRPr="00CA4E4C" w:rsidRDefault="00600ED6" w:rsidP="00600ED6">
      <w:pPr>
        <w:rPr>
          <w:rFonts w:cs="Arial"/>
        </w:rPr>
      </w:pPr>
      <w:r w:rsidRPr="00CA4E4C">
        <w:rPr>
          <w:rFonts w:cs="Arial"/>
        </w:rPr>
        <w:t xml:space="preserve">Note: D.19-08-xxx </w:t>
      </w:r>
      <w:r w:rsidR="00DE7B7E" w:rsidRPr="00CA4E4C">
        <w:rPr>
          <w:rFonts w:cs="Arial"/>
        </w:rPr>
        <w:t xml:space="preserve">updated 2020 on beyond </w:t>
      </w:r>
      <w:r w:rsidRPr="00CA4E4C">
        <w:rPr>
          <w:rFonts w:cs="Arial"/>
        </w:rPr>
        <w:t xml:space="preserve">CPUC </w:t>
      </w:r>
      <w:r w:rsidR="00DE7B7E" w:rsidRPr="00CA4E4C">
        <w:rPr>
          <w:rFonts w:cs="Arial"/>
        </w:rPr>
        <w:t>s</w:t>
      </w:r>
      <w:r w:rsidRPr="00CA4E4C">
        <w:rPr>
          <w:rFonts w:cs="Arial"/>
        </w:rPr>
        <w:t xml:space="preserve">avings </w:t>
      </w:r>
      <w:r w:rsidR="00DE7B7E" w:rsidRPr="00CA4E4C">
        <w:rPr>
          <w:rFonts w:cs="Arial"/>
        </w:rPr>
        <w:t>g</w:t>
      </w:r>
      <w:r w:rsidRPr="00CA4E4C">
        <w:rPr>
          <w:rFonts w:cs="Arial"/>
        </w:rPr>
        <w:t>oal</w:t>
      </w:r>
      <w:r w:rsidR="00DE7B7E" w:rsidRPr="00CA4E4C">
        <w:rPr>
          <w:rFonts w:cs="Arial"/>
        </w:rPr>
        <w:t>s.</w:t>
      </w:r>
      <w:r w:rsidRPr="00CA4E4C">
        <w:rPr>
          <w:rFonts w:cs="Arial"/>
        </w:rPr>
        <w:t xml:space="preserve"> </w:t>
      </w:r>
    </w:p>
    <w:p w14:paraId="6525ABCB" w14:textId="3A17E5AC" w:rsidR="00E7675A" w:rsidRPr="00CA4E4C" w:rsidRDefault="00E7675A">
      <w:pPr>
        <w:rPr>
          <w:rFonts w:cs="Arial"/>
          <w:b/>
          <w:szCs w:val="22"/>
        </w:rPr>
      </w:pPr>
    </w:p>
    <w:p w14:paraId="7B056950" w14:textId="51490617" w:rsidR="00496BF5" w:rsidRPr="00CA4E4C" w:rsidRDefault="00496BF5">
      <w:pPr>
        <w:keepNext/>
        <w:keepLines/>
        <w:jc w:val="center"/>
        <w:rPr>
          <w:rFonts w:cs="Arial"/>
          <w:b/>
        </w:rPr>
      </w:pPr>
      <w:bookmarkStart w:id="3" w:name="_Hlk522798234"/>
      <w:r w:rsidRPr="00CA4E4C">
        <w:rPr>
          <w:rFonts w:cs="Arial"/>
          <w:b/>
          <w:bCs/>
        </w:rPr>
        <w:lastRenderedPageBreak/>
        <w:t xml:space="preserve">Table </w:t>
      </w:r>
      <w:r w:rsidR="00A75A1B">
        <w:rPr>
          <w:rFonts w:cs="Arial"/>
          <w:b/>
          <w:bCs/>
        </w:rPr>
        <w:t>7</w:t>
      </w:r>
      <w:r w:rsidRPr="00CA4E4C">
        <w:rPr>
          <w:rFonts w:cs="Arial"/>
          <w:b/>
          <w:bCs/>
        </w:rPr>
        <w:t xml:space="preserve">: </w:t>
      </w:r>
      <w:r w:rsidR="00EB6782" w:rsidRPr="00CA4E4C">
        <w:rPr>
          <w:rFonts w:cs="Arial"/>
          <w:b/>
          <w:bCs/>
        </w:rPr>
        <w:t>20</w:t>
      </w:r>
      <w:r w:rsidR="00D97011" w:rsidRPr="00CA4E4C">
        <w:rPr>
          <w:rFonts w:cs="Arial"/>
          <w:b/>
          <w:bCs/>
        </w:rPr>
        <w:t>20</w:t>
      </w:r>
      <w:r w:rsidR="00EB6782" w:rsidRPr="00CA4E4C">
        <w:rPr>
          <w:rFonts w:cs="Arial"/>
          <w:b/>
          <w:bCs/>
        </w:rPr>
        <w:t xml:space="preserve"> </w:t>
      </w:r>
      <w:r w:rsidRPr="00CA4E4C">
        <w:rPr>
          <w:rFonts w:cs="Arial"/>
          <w:b/>
          <w:bCs/>
        </w:rPr>
        <w:t>EE Portfolio Cost Effectiveness</w:t>
      </w:r>
    </w:p>
    <w:p w14:paraId="19A60BCA" w14:textId="138F20F3" w:rsidR="00034093" w:rsidRPr="00CA4E4C" w:rsidRDefault="00034093">
      <w:pPr>
        <w:keepNext/>
        <w:keepLines/>
        <w:jc w:val="center"/>
        <w:rPr>
          <w:rFonts w:cs="Arial"/>
        </w:rPr>
      </w:pPr>
    </w:p>
    <w:tbl>
      <w:tblPr>
        <w:tblStyle w:val="TableGrid"/>
        <w:tblW w:w="0" w:type="auto"/>
        <w:jc w:val="center"/>
        <w:tblBorders>
          <w:insideH w:val="single" w:sz="6" w:space="0" w:color="auto"/>
          <w:insideV w:val="single" w:sz="6" w:space="0" w:color="auto"/>
        </w:tblBorders>
        <w:tblLook w:val="04A0" w:firstRow="1" w:lastRow="0" w:firstColumn="1" w:lastColumn="0" w:noHBand="0" w:noVBand="1"/>
      </w:tblPr>
      <w:tblGrid>
        <w:gridCol w:w="3673"/>
        <w:gridCol w:w="1366"/>
        <w:gridCol w:w="1366"/>
      </w:tblGrid>
      <w:tr w:rsidR="00E67410" w:rsidRPr="00CA4E4C" w14:paraId="720F91B7" w14:textId="77777777" w:rsidTr="1C737B24">
        <w:trPr>
          <w:jc w:val="center"/>
        </w:trPr>
        <w:tc>
          <w:tcPr>
            <w:tcW w:w="3673" w:type="dxa"/>
          </w:tcPr>
          <w:p w14:paraId="121F0340" w14:textId="77777777" w:rsidR="00E67410" w:rsidRPr="00CA4E4C" w:rsidRDefault="00E67410" w:rsidP="00A53AAD">
            <w:pPr>
              <w:keepNext/>
              <w:keepLines/>
              <w:spacing w:before="120" w:after="120"/>
              <w:jc w:val="center"/>
              <w:rPr>
                <w:rFonts w:cs="Arial"/>
              </w:rPr>
            </w:pPr>
          </w:p>
        </w:tc>
        <w:tc>
          <w:tcPr>
            <w:tcW w:w="1366" w:type="dxa"/>
          </w:tcPr>
          <w:p w14:paraId="4ACC70F0" w14:textId="77777777" w:rsidR="00E67410" w:rsidRPr="00CA4E4C" w:rsidRDefault="00E67410" w:rsidP="00A53AAD">
            <w:pPr>
              <w:keepNext/>
              <w:keepLines/>
              <w:spacing w:before="120" w:after="120"/>
              <w:jc w:val="center"/>
              <w:rPr>
                <w:rFonts w:cs="Arial"/>
              </w:rPr>
            </w:pPr>
            <w:r w:rsidRPr="00CA4E4C">
              <w:rPr>
                <w:rFonts w:cs="Arial"/>
              </w:rPr>
              <w:t>TRC Ratio</w:t>
            </w:r>
          </w:p>
        </w:tc>
        <w:tc>
          <w:tcPr>
            <w:tcW w:w="1366" w:type="dxa"/>
          </w:tcPr>
          <w:p w14:paraId="201573FE" w14:textId="77777777" w:rsidR="00E67410" w:rsidRPr="00CA4E4C" w:rsidRDefault="00E67410" w:rsidP="00A53AAD">
            <w:pPr>
              <w:keepNext/>
              <w:keepLines/>
              <w:spacing w:before="120" w:after="120"/>
              <w:jc w:val="center"/>
              <w:rPr>
                <w:rFonts w:cs="Arial"/>
              </w:rPr>
            </w:pPr>
            <w:r w:rsidRPr="00CA4E4C">
              <w:rPr>
                <w:rFonts w:cs="Arial"/>
              </w:rPr>
              <w:t>PAC Ratio</w:t>
            </w:r>
          </w:p>
        </w:tc>
      </w:tr>
      <w:tr w:rsidR="00E67410" w:rsidRPr="00CA4E4C" w14:paraId="0E8C7CA9" w14:textId="77777777" w:rsidTr="1C737B24">
        <w:trPr>
          <w:jc w:val="center"/>
        </w:trPr>
        <w:tc>
          <w:tcPr>
            <w:tcW w:w="3673" w:type="dxa"/>
          </w:tcPr>
          <w:p w14:paraId="5A560D65" w14:textId="77777777" w:rsidR="00E67410" w:rsidRPr="00CA4E4C" w:rsidRDefault="00E67410" w:rsidP="00A53AAD">
            <w:pPr>
              <w:keepNext/>
              <w:keepLines/>
              <w:spacing w:before="120" w:after="120"/>
              <w:jc w:val="center"/>
              <w:rPr>
                <w:rFonts w:cs="Arial"/>
              </w:rPr>
            </w:pPr>
            <w:r w:rsidRPr="00CA4E4C">
              <w:rPr>
                <w:rFonts w:cs="Arial"/>
              </w:rPr>
              <w:t>Without C</w:t>
            </w:r>
            <w:r w:rsidR="00A53AAD" w:rsidRPr="00CA4E4C">
              <w:rPr>
                <w:rFonts w:cs="Arial"/>
              </w:rPr>
              <w:t xml:space="preserve">odes </w:t>
            </w:r>
            <w:r w:rsidRPr="00CA4E4C">
              <w:rPr>
                <w:rFonts w:cs="Arial"/>
              </w:rPr>
              <w:t>&amp;</w:t>
            </w:r>
            <w:r w:rsidR="00A53AAD" w:rsidRPr="00CA4E4C">
              <w:rPr>
                <w:rFonts w:cs="Arial"/>
              </w:rPr>
              <w:t xml:space="preserve"> </w:t>
            </w:r>
            <w:r w:rsidRPr="00CA4E4C">
              <w:rPr>
                <w:rFonts w:cs="Arial"/>
              </w:rPr>
              <w:t>S</w:t>
            </w:r>
            <w:r w:rsidR="00A53AAD" w:rsidRPr="00CA4E4C">
              <w:rPr>
                <w:rFonts w:cs="Arial"/>
              </w:rPr>
              <w:t>tandards (C&amp;S)</w:t>
            </w:r>
          </w:p>
        </w:tc>
        <w:tc>
          <w:tcPr>
            <w:tcW w:w="1366" w:type="dxa"/>
          </w:tcPr>
          <w:p w14:paraId="324CB588" w14:textId="55FDDE66" w:rsidR="00E67410" w:rsidRPr="00A6364D" w:rsidRDefault="003D4145" w:rsidP="00021CA2">
            <w:pPr>
              <w:keepNext/>
              <w:keepLines/>
              <w:spacing w:before="120" w:after="120"/>
              <w:jc w:val="center"/>
              <w:rPr>
                <w:rFonts w:cs="Arial"/>
              </w:rPr>
            </w:pPr>
            <w:r w:rsidRPr="00A6364D">
              <w:rPr>
                <w:rFonts w:cs="Arial"/>
              </w:rPr>
              <w:t>1.</w:t>
            </w:r>
            <w:r w:rsidR="00EC41D7" w:rsidRPr="00A6364D">
              <w:rPr>
                <w:rFonts w:cs="Arial"/>
              </w:rPr>
              <w:t>2</w:t>
            </w:r>
            <w:r w:rsidR="6BB8E80F" w:rsidRPr="00A6364D">
              <w:rPr>
                <w:rFonts w:cs="Arial"/>
              </w:rPr>
              <w:t>6</w:t>
            </w:r>
          </w:p>
        </w:tc>
        <w:tc>
          <w:tcPr>
            <w:tcW w:w="1366" w:type="dxa"/>
          </w:tcPr>
          <w:p w14:paraId="43DCF414" w14:textId="12598D2F" w:rsidR="003D4145" w:rsidRPr="00A6364D" w:rsidRDefault="00FE753A" w:rsidP="00021CA2">
            <w:pPr>
              <w:keepNext/>
              <w:keepLines/>
              <w:spacing w:before="120" w:after="120"/>
              <w:jc w:val="center"/>
              <w:rPr>
                <w:rFonts w:cs="Arial"/>
              </w:rPr>
            </w:pPr>
            <w:r w:rsidRPr="00A6364D">
              <w:rPr>
                <w:rFonts w:cs="Arial"/>
              </w:rPr>
              <w:t>1.</w:t>
            </w:r>
            <w:r w:rsidR="6BB8E80F" w:rsidRPr="00A6364D">
              <w:rPr>
                <w:rFonts w:cs="Arial"/>
              </w:rPr>
              <w:t>54</w:t>
            </w:r>
          </w:p>
        </w:tc>
      </w:tr>
      <w:tr w:rsidR="00654732" w:rsidRPr="00CA4E4C" w14:paraId="18774288" w14:textId="77777777" w:rsidTr="00021CA2">
        <w:trPr>
          <w:jc w:val="center"/>
        </w:trPr>
        <w:tc>
          <w:tcPr>
            <w:tcW w:w="3673" w:type="dxa"/>
          </w:tcPr>
          <w:p w14:paraId="3E970742" w14:textId="5213B7C2" w:rsidR="00654732" w:rsidRPr="00CA4E4C" w:rsidRDefault="00654732" w:rsidP="00A53AAD">
            <w:pPr>
              <w:keepNext/>
              <w:keepLines/>
              <w:spacing w:before="120" w:after="120"/>
              <w:jc w:val="center"/>
              <w:rPr>
                <w:rFonts w:cs="Arial"/>
              </w:rPr>
            </w:pPr>
            <w:r w:rsidRPr="00CA4E4C">
              <w:rPr>
                <w:rFonts w:cs="Arial"/>
              </w:rPr>
              <w:t>With C</w:t>
            </w:r>
            <w:r w:rsidR="00A53AAD" w:rsidRPr="00CA4E4C">
              <w:rPr>
                <w:rFonts w:cs="Arial"/>
              </w:rPr>
              <w:t xml:space="preserve">odes </w:t>
            </w:r>
            <w:r w:rsidRPr="00CA4E4C">
              <w:rPr>
                <w:rFonts w:cs="Arial"/>
              </w:rPr>
              <w:t>&amp;</w:t>
            </w:r>
            <w:r w:rsidR="00A53AAD" w:rsidRPr="00CA4E4C">
              <w:rPr>
                <w:rFonts w:cs="Arial"/>
              </w:rPr>
              <w:t xml:space="preserve"> </w:t>
            </w:r>
            <w:r w:rsidRPr="00CA4E4C">
              <w:rPr>
                <w:rFonts w:cs="Arial"/>
              </w:rPr>
              <w:t>S</w:t>
            </w:r>
            <w:r w:rsidR="00A53AAD" w:rsidRPr="00CA4E4C">
              <w:rPr>
                <w:rFonts w:cs="Arial"/>
              </w:rPr>
              <w:t>tandards</w:t>
            </w:r>
            <w:r w:rsidR="003777DD" w:rsidRPr="00CA4E4C">
              <w:rPr>
                <w:rFonts w:cs="Arial"/>
              </w:rPr>
              <w:t xml:space="preserve"> (C&amp;S)</w:t>
            </w:r>
          </w:p>
        </w:tc>
        <w:tc>
          <w:tcPr>
            <w:tcW w:w="1366" w:type="dxa"/>
            <w:shd w:val="clear" w:color="auto" w:fill="auto"/>
            <w:vAlign w:val="bottom"/>
          </w:tcPr>
          <w:p w14:paraId="42FE3ABB" w14:textId="16EE473B" w:rsidR="00654732" w:rsidRPr="00A6364D" w:rsidRDefault="00FE753A" w:rsidP="00021CA2">
            <w:pPr>
              <w:keepNext/>
              <w:keepLines/>
              <w:spacing w:before="120" w:after="120"/>
              <w:jc w:val="center"/>
              <w:rPr>
                <w:rFonts w:cs="Arial"/>
              </w:rPr>
            </w:pPr>
            <w:r w:rsidRPr="00A6364D">
              <w:rPr>
                <w:rFonts w:cs="Arial"/>
              </w:rPr>
              <w:t>1.</w:t>
            </w:r>
            <w:r w:rsidR="1C737B24" w:rsidRPr="00A6364D">
              <w:rPr>
                <w:rFonts w:cs="Arial"/>
              </w:rPr>
              <w:t>29</w:t>
            </w:r>
          </w:p>
        </w:tc>
        <w:tc>
          <w:tcPr>
            <w:tcW w:w="1366" w:type="dxa"/>
            <w:shd w:val="clear" w:color="auto" w:fill="auto"/>
            <w:vAlign w:val="bottom"/>
          </w:tcPr>
          <w:p w14:paraId="2E1FE3EA" w14:textId="0563B074" w:rsidR="003D4145" w:rsidRPr="00A6364D" w:rsidRDefault="003D4145" w:rsidP="00021CA2">
            <w:pPr>
              <w:keepNext/>
              <w:keepLines/>
              <w:spacing w:before="120" w:after="120"/>
              <w:jc w:val="center"/>
              <w:rPr>
                <w:rFonts w:cs="Arial"/>
              </w:rPr>
            </w:pPr>
            <w:r w:rsidRPr="00A6364D">
              <w:rPr>
                <w:rFonts w:cs="Arial"/>
              </w:rPr>
              <w:t>2.</w:t>
            </w:r>
            <w:r w:rsidR="1C737B24" w:rsidRPr="00A6364D">
              <w:rPr>
                <w:rFonts w:cs="Arial"/>
              </w:rPr>
              <w:t>86</w:t>
            </w:r>
          </w:p>
        </w:tc>
      </w:tr>
    </w:tbl>
    <w:p w14:paraId="32400990" w14:textId="77777777" w:rsidR="00E67410" w:rsidRPr="00CA4E4C" w:rsidRDefault="00E67410" w:rsidP="00293697">
      <w:pPr>
        <w:keepNext/>
        <w:keepLines/>
        <w:jc w:val="center"/>
        <w:rPr>
          <w:rFonts w:cs="Arial"/>
          <w:szCs w:val="22"/>
        </w:rPr>
      </w:pPr>
    </w:p>
    <w:bookmarkEnd w:id="3"/>
    <w:p w14:paraId="5DBBAEF4" w14:textId="4C8681FE" w:rsidR="00C07B20" w:rsidRPr="00CA4E4C" w:rsidRDefault="00C07B20" w:rsidP="00CF0959">
      <w:pPr>
        <w:rPr>
          <w:rFonts w:cs="Arial"/>
          <w:szCs w:val="22"/>
        </w:rPr>
      </w:pPr>
      <w:r w:rsidRPr="00CA4E4C">
        <w:rPr>
          <w:rFonts w:cs="Arial"/>
          <w:szCs w:val="22"/>
        </w:rPr>
        <w:t xml:space="preserve">SDG&amp;E’s </w:t>
      </w:r>
      <w:r w:rsidR="00D4759C" w:rsidRPr="00CA4E4C">
        <w:rPr>
          <w:rFonts w:cs="Arial"/>
          <w:szCs w:val="22"/>
        </w:rPr>
        <w:t>20</w:t>
      </w:r>
      <w:r w:rsidR="00D97011" w:rsidRPr="00CA4E4C">
        <w:rPr>
          <w:rFonts w:cs="Arial"/>
          <w:szCs w:val="22"/>
        </w:rPr>
        <w:t>20</w:t>
      </w:r>
      <w:r w:rsidR="00D4759C" w:rsidRPr="00CA4E4C">
        <w:rPr>
          <w:rFonts w:cs="Arial"/>
          <w:szCs w:val="22"/>
        </w:rPr>
        <w:t xml:space="preserve"> </w:t>
      </w:r>
      <w:r w:rsidRPr="00CA4E4C">
        <w:rPr>
          <w:rFonts w:cs="Arial"/>
          <w:szCs w:val="22"/>
        </w:rPr>
        <w:t>TRC and PAC results reflect the following inputs:</w:t>
      </w:r>
    </w:p>
    <w:p w14:paraId="0433B816" w14:textId="77777777" w:rsidR="00C07B20" w:rsidRPr="00CA4E4C" w:rsidRDefault="00C07B20" w:rsidP="00CF0959">
      <w:pPr>
        <w:jc w:val="center"/>
        <w:rPr>
          <w:rFonts w:cs="Arial"/>
          <w:szCs w:val="22"/>
        </w:rPr>
      </w:pPr>
    </w:p>
    <w:p w14:paraId="4F29D79E" w14:textId="7FB2F512" w:rsidR="00E67410" w:rsidRPr="00CA4E4C" w:rsidRDefault="00E67410" w:rsidP="00265B2B">
      <w:pPr>
        <w:numPr>
          <w:ilvl w:val="0"/>
          <w:numId w:val="4"/>
        </w:numPr>
        <w:jc w:val="both"/>
        <w:rPr>
          <w:rFonts w:cs="Arial"/>
          <w:szCs w:val="22"/>
        </w:rPr>
      </w:pPr>
      <w:r w:rsidRPr="00CA4E4C">
        <w:rPr>
          <w:rFonts w:cs="Arial"/>
          <w:szCs w:val="22"/>
        </w:rPr>
        <w:t>Updated 20</w:t>
      </w:r>
      <w:r w:rsidR="00D97011" w:rsidRPr="00CA4E4C">
        <w:rPr>
          <w:rFonts w:cs="Arial"/>
          <w:szCs w:val="22"/>
        </w:rPr>
        <w:t>20</w:t>
      </w:r>
      <w:r w:rsidRPr="00CA4E4C">
        <w:rPr>
          <w:rFonts w:cs="Arial"/>
          <w:szCs w:val="22"/>
        </w:rPr>
        <w:t xml:space="preserve"> avoided costs and </w:t>
      </w:r>
      <w:r w:rsidR="00001742" w:rsidRPr="00CA4E4C">
        <w:rPr>
          <w:rFonts w:cs="Arial"/>
          <w:szCs w:val="22"/>
        </w:rPr>
        <w:t>Greenhouse Gas adder co</w:t>
      </w:r>
      <w:r w:rsidR="00CF0959" w:rsidRPr="00CA4E4C">
        <w:rPr>
          <w:rFonts w:cs="Arial"/>
          <w:szCs w:val="22"/>
        </w:rPr>
        <w:t>nsistent with Resolution E-</w:t>
      </w:r>
      <w:r w:rsidR="00F36B48" w:rsidRPr="00CA4E4C">
        <w:rPr>
          <w:rFonts w:cs="Arial"/>
          <w:szCs w:val="22"/>
          <w:highlight w:val="yellow"/>
        </w:rPr>
        <w:t>xxxx</w:t>
      </w:r>
      <w:r w:rsidR="00CF0959" w:rsidRPr="00CA4E4C">
        <w:rPr>
          <w:rFonts w:cs="Arial"/>
          <w:szCs w:val="22"/>
        </w:rPr>
        <w:t>;</w:t>
      </w:r>
    </w:p>
    <w:p w14:paraId="1341A803" w14:textId="77777777" w:rsidR="00C07B20" w:rsidRPr="00CA4E4C" w:rsidRDefault="00A57336" w:rsidP="00265B2B">
      <w:pPr>
        <w:numPr>
          <w:ilvl w:val="0"/>
          <w:numId w:val="4"/>
        </w:numPr>
        <w:jc w:val="both"/>
        <w:rPr>
          <w:rFonts w:cs="Arial"/>
          <w:szCs w:val="22"/>
        </w:rPr>
      </w:pPr>
      <w:r w:rsidRPr="00CA4E4C">
        <w:rPr>
          <w:rFonts w:cs="Arial"/>
          <w:szCs w:val="22"/>
        </w:rPr>
        <w:t>Excludes</w:t>
      </w:r>
      <w:r w:rsidR="00C07B20" w:rsidRPr="00CA4E4C">
        <w:rPr>
          <w:rFonts w:cs="Arial"/>
          <w:szCs w:val="22"/>
        </w:rPr>
        <w:t xml:space="preserve"> Emerging Technology, </w:t>
      </w:r>
      <w:r w:rsidR="001F7A0E" w:rsidRPr="00CA4E4C">
        <w:rPr>
          <w:rFonts w:cs="Arial"/>
          <w:szCs w:val="22"/>
        </w:rPr>
        <w:t>On-Bill Financing</w:t>
      </w:r>
      <w:r w:rsidR="006B0382" w:rsidRPr="00CA4E4C">
        <w:rPr>
          <w:rFonts w:cs="Arial"/>
          <w:szCs w:val="22"/>
        </w:rPr>
        <w:t xml:space="preserve"> (OBF)</w:t>
      </w:r>
      <w:r w:rsidR="00C07B20" w:rsidRPr="00CA4E4C">
        <w:rPr>
          <w:rFonts w:cs="Arial"/>
          <w:szCs w:val="22"/>
        </w:rPr>
        <w:t xml:space="preserve"> revolving loan pool, </w:t>
      </w:r>
      <w:r w:rsidR="006B4449" w:rsidRPr="00CA4E4C">
        <w:rPr>
          <w:rFonts w:cs="Arial"/>
          <w:szCs w:val="22"/>
        </w:rPr>
        <w:t xml:space="preserve">and </w:t>
      </w:r>
      <w:r w:rsidR="00C07B20" w:rsidRPr="00CA4E4C">
        <w:rPr>
          <w:rFonts w:cs="Arial"/>
          <w:szCs w:val="22"/>
        </w:rPr>
        <w:t>credit enhancements</w:t>
      </w:r>
      <w:r w:rsidR="00AD6DCD" w:rsidRPr="00CA4E4C">
        <w:rPr>
          <w:rFonts w:cs="Arial"/>
          <w:szCs w:val="22"/>
        </w:rPr>
        <w:t>;</w:t>
      </w:r>
    </w:p>
    <w:p w14:paraId="58D725DF" w14:textId="7B5E462A" w:rsidR="00C07B20" w:rsidRPr="00CA4E4C" w:rsidRDefault="00F36B48" w:rsidP="00265B2B">
      <w:pPr>
        <w:numPr>
          <w:ilvl w:val="0"/>
          <w:numId w:val="4"/>
        </w:numPr>
        <w:jc w:val="both"/>
        <w:rPr>
          <w:rFonts w:cs="Arial"/>
          <w:szCs w:val="22"/>
        </w:rPr>
      </w:pPr>
      <w:r w:rsidRPr="00CA4E4C">
        <w:rPr>
          <w:rFonts w:cs="Arial"/>
          <w:szCs w:val="22"/>
        </w:rPr>
        <w:t>Excludes</w:t>
      </w:r>
      <w:r w:rsidR="00496BF5" w:rsidRPr="00CA4E4C">
        <w:rPr>
          <w:rFonts w:cs="Arial"/>
          <w:szCs w:val="22"/>
        </w:rPr>
        <w:t xml:space="preserve"> </w:t>
      </w:r>
      <w:r w:rsidR="00C07B20" w:rsidRPr="00CA4E4C">
        <w:rPr>
          <w:rFonts w:cs="Arial"/>
          <w:szCs w:val="22"/>
        </w:rPr>
        <w:t xml:space="preserve">Market Effects (ME) </w:t>
      </w:r>
      <w:r w:rsidR="003645CA" w:rsidRPr="00CA4E4C">
        <w:rPr>
          <w:rFonts w:cs="Arial"/>
          <w:szCs w:val="22"/>
        </w:rPr>
        <w:t xml:space="preserve">based on </w:t>
      </w:r>
      <w:r w:rsidR="00C07B20" w:rsidRPr="00CA4E4C">
        <w:rPr>
          <w:rFonts w:cs="Arial"/>
          <w:szCs w:val="22"/>
        </w:rPr>
        <w:t>D.</w:t>
      </w:r>
      <w:r w:rsidRPr="00157C9E">
        <w:rPr>
          <w:rFonts w:cs="Arial"/>
          <w:szCs w:val="22"/>
          <w:highlight w:val="yellow"/>
        </w:rPr>
        <w:t>xx-xx-xxx</w:t>
      </w:r>
      <w:r w:rsidR="003645CA" w:rsidRPr="00CA4E4C">
        <w:rPr>
          <w:rFonts w:cs="Arial"/>
          <w:szCs w:val="22"/>
        </w:rPr>
        <w:t>, which</w:t>
      </w:r>
      <w:r w:rsidR="00C07B20" w:rsidRPr="00CA4E4C">
        <w:rPr>
          <w:rFonts w:cs="Arial"/>
          <w:szCs w:val="22"/>
        </w:rPr>
        <w:t xml:space="preserve"> </w:t>
      </w:r>
      <w:r w:rsidRPr="00CA4E4C">
        <w:rPr>
          <w:rFonts w:cs="Arial"/>
          <w:szCs w:val="22"/>
        </w:rPr>
        <w:t>eliminated the</w:t>
      </w:r>
      <w:r w:rsidR="00C07B20" w:rsidRPr="00CA4E4C">
        <w:rPr>
          <w:rFonts w:cs="Arial"/>
          <w:szCs w:val="22"/>
        </w:rPr>
        <w:t xml:space="preserve"> 5% spillover for resource programs</w:t>
      </w:r>
      <w:r w:rsidR="00AD6DCD" w:rsidRPr="00CA4E4C">
        <w:rPr>
          <w:rFonts w:cs="Arial"/>
          <w:szCs w:val="22"/>
        </w:rPr>
        <w:t>;</w:t>
      </w:r>
    </w:p>
    <w:p w14:paraId="47F95C3A" w14:textId="0557DAFB" w:rsidR="00BF3633" w:rsidRPr="00CA4E4C" w:rsidRDefault="00F31295" w:rsidP="00F31295">
      <w:pPr>
        <w:numPr>
          <w:ilvl w:val="0"/>
          <w:numId w:val="4"/>
        </w:numPr>
        <w:jc w:val="both"/>
        <w:rPr>
          <w:rFonts w:cs="Arial"/>
          <w:szCs w:val="22"/>
        </w:rPr>
      </w:pPr>
      <w:r w:rsidRPr="00CA4E4C">
        <w:rPr>
          <w:rFonts w:cs="Arial"/>
          <w:szCs w:val="22"/>
        </w:rPr>
        <w:t>Uses workpapers that are approved by staff as of July 12, 2019</w:t>
      </w:r>
      <w:r w:rsidR="00CF3140">
        <w:rPr>
          <w:rFonts w:cs="Arial"/>
          <w:szCs w:val="22"/>
        </w:rPr>
        <w:t>,</w:t>
      </w:r>
      <w:r w:rsidR="00BF3633" w:rsidRPr="00CA4E4C">
        <w:rPr>
          <w:rFonts w:cs="Arial"/>
          <w:szCs w:val="22"/>
        </w:rPr>
        <w:t xml:space="preserve"> or workpapers that Staff has indicated will be approved by </w:t>
      </w:r>
      <w:r w:rsidR="00CF3140">
        <w:rPr>
          <w:rFonts w:cs="Arial"/>
          <w:szCs w:val="22"/>
        </w:rPr>
        <w:t xml:space="preserve">September </w:t>
      </w:r>
      <w:r w:rsidR="00BF3633" w:rsidRPr="00CA4E4C">
        <w:rPr>
          <w:rFonts w:cs="Arial"/>
          <w:szCs w:val="22"/>
        </w:rPr>
        <w:t>1</w:t>
      </w:r>
      <w:r w:rsidR="00CF3140">
        <w:rPr>
          <w:rFonts w:cs="Arial"/>
          <w:szCs w:val="22"/>
        </w:rPr>
        <w:t xml:space="preserve">, </w:t>
      </w:r>
      <w:r w:rsidR="00BF3633" w:rsidRPr="00CA4E4C">
        <w:rPr>
          <w:rFonts w:cs="Arial"/>
          <w:szCs w:val="22"/>
        </w:rPr>
        <w:t>2019;</w:t>
      </w:r>
    </w:p>
    <w:p w14:paraId="6AB6B317" w14:textId="6A6A9DEB" w:rsidR="00BF3633" w:rsidRPr="00CA4E4C" w:rsidRDefault="00F31295" w:rsidP="001B51BA">
      <w:pPr>
        <w:numPr>
          <w:ilvl w:val="0"/>
          <w:numId w:val="4"/>
        </w:numPr>
        <w:jc w:val="both"/>
        <w:rPr>
          <w:rFonts w:cs="Arial"/>
          <w:szCs w:val="22"/>
        </w:rPr>
      </w:pPr>
      <w:r w:rsidRPr="00CA4E4C">
        <w:rPr>
          <w:rFonts w:cs="Arial"/>
          <w:szCs w:val="22"/>
        </w:rPr>
        <w:t>For third-party program forecasts pending from solicitations, SDG&amp;E used</w:t>
      </w:r>
      <w:r w:rsidR="00BF3633" w:rsidRPr="00CA4E4C">
        <w:rPr>
          <w:rFonts w:cs="Arial"/>
          <w:szCs w:val="22"/>
        </w:rPr>
        <w:t xml:space="preserve"> </w:t>
      </w:r>
      <w:r w:rsidR="00BF3633" w:rsidRPr="00CA4E4C">
        <w:rPr>
          <w:rFonts w:cs="Arial"/>
          <w:szCs w:val="22"/>
        </w:rPr>
        <w:tab/>
        <w:t>the</w:t>
      </w:r>
      <w:r w:rsidR="00BA3D02" w:rsidRPr="00CA4E4C">
        <w:rPr>
          <w:rFonts w:cs="Arial"/>
          <w:szCs w:val="22"/>
        </w:rPr>
        <w:t xml:space="preserve"> </w:t>
      </w:r>
      <w:r w:rsidR="00BF3633" w:rsidRPr="00CA4E4C">
        <w:rPr>
          <w:rFonts w:cs="Arial"/>
          <w:szCs w:val="22"/>
        </w:rPr>
        <w:t>same forecasting methods used for custom projects (in terms of</w:t>
      </w:r>
      <w:r w:rsidR="00BA3D02" w:rsidRPr="00CA4E4C">
        <w:rPr>
          <w:rFonts w:cs="Arial"/>
          <w:szCs w:val="22"/>
        </w:rPr>
        <w:t xml:space="preserve"> </w:t>
      </w:r>
      <w:r w:rsidR="00BF3633" w:rsidRPr="00CA4E4C">
        <w:rPr>
          <w:rFonts w:cs="Arial"/>
          <w:szCs w:val="22"/>
        </w:rPr>
        <w:t xml:space="preserve">measures and measure mix being “unknown” prior to a program year); </w:t>
      </w:r>
    </w:p>
    <w:p w14:paraId="50D4D159" w14:textId="77777777" w:rsidR="00C07B20" w:rsidRPr="00CA4E4C" w:rsidRDefault="00496BF5" w:rsidP="00265B2B">
      <w:pPr>
        <w:numPr>
          <w:ilvl w:val="0"/>
          <w:numId w:val="4"/>
        </w:numPr>
        <w:jc w:val="both"/>
        <w:rPr>
          <w:rFonts w:cs="Arial"/>
          <w:szCs w:val="22"/>
        </w:rPr>
      </w:pPr>
      <w:r w:rsidRPr="00CA4E4C">
        <w:rPr>
          <w:rFonts w:cs="Arial"/>
          <w:szCs w:val="22"/>
        </w:rPr>
        <w:t>Includes e</w:t>
      </w:r>
      <w:r w:rsidR="00C07B20" w:rsidRPr="00CA4E4C">
        <w:rPr>
          <w:rFonts w:cs="Arial"/>
          <w:szCs w:val="22"/>
        </w:rPr>
        <w:t>stimated Energy Savings Performance Incentive payments</w:t>
      </w:r>
      <w:r w:rsidRPr="00CA4E4C">
        <w:rPr>
          <w:rFonts w:cs="Arial"/>
          <w:szCs w:val="22"/>
        </w:rPr>
        <w:t xml:space="preserve"> of $</w:t>
      </w:r>
      <w:r w:rsidR="00E67410" w:rsidRPr="00CA4E4C">
        <w:rPr>
          <w:rFonts w:cs="Arial"/>
          <w:szCs w:val="22"/>
        </w:rPr>
        <w:t>3</w:t>
      </w:r>
      <w:r w:rsidR="00136F49" w:rsidRPr="00CA4E4C">
        <w:rPr>
          <w:rFonts w:cs="Arial"/>
          <w:szCs w:val="22"/>
        </w:rPr>
        <w:t>.5</w:t>
      </w:r>
      <w:r w:rsidR="00A31A52" w:rsidRPr="00CA4E4C">
        <w:rPr>
          <w:rFonts w:cs="Arial"/>
          <w:szCs w:val="22"/>
        </w:rPr>
        <w:t xml:space="preserve"> </w:t>
      </w:r>
      <w:r w:rsidRPr="00CA4E4C">
        <w:rPr>
          <w:rFonts w:cs="Arial"/>
          <w:szCs w:val="22"/>
        </w:rPr>
        <w:t>million</w:t>
      </w:r>
      <w:r w:rsidR="00AD6DCD" w:rsidRPr="00CA4E4C">
        <w:rPr>
          <w:rFonts w:cs="Arial"/>
          <w:szCs w:val="22"/>
        </w:rPr>
        <w:t xml:space="preserve">; </w:t>
      </w:r>
    </w:p>
    <w:p w14:paraId="0F702E68" w14:textId="77777777" w:rsidR="00496BF5" w:rsidRPr="00CA4E4C" w:rsidRDefault="00496BF5" w:rsidP="00265B2B">
      <w:pPr>
        <w:numPr>
          <w:ilvl w:val="0"/>
          <w:numId w:val="4"/>
        </w:numPr>
        <w:jc w:val="both"/>
        <w:rPr>
          <w:rFonts w:cs="Arial"/>
          <w:szCs w:val="22"/>
        </w:rPr>
      </w:pPr>
      <w:r w:rsidRPr="00CA4E4C">
        <w:rPr>
          <w:rFonts w:cs="Arial"/>
          <w:szCs w:val="22"/>
        </w:rPr>
        <w:t xml:space="preserve">Includes </w:t>
      </w:r>
      <w:r w:rsidR="005F547E" w:rsidRPr="00CA4E4C">
        <w:rPr>
          <w:rFonts w:cs="Arial"/>
          <w:szCs w:val="22"/>
        </w:rPr>
        <w:t>i</w:t>
      </w:r>
      <w:r w:rsidRPr="00CA4E4C">
        <w:rPr>
          <w:rFonts w:cs="Arial"/>
          <w:szCs w:val="22"/>
        </w:rPr>
        <w:t xml:space="preserve">ndirect labor loaders adopted </w:t>
      </w:r>
      <w:r w:rsidR="005D4475" w:rsidRPr="00CA4E4C">
        <w:rPr>
          <w:rFonts w:cs="Arial"/>
          <w:szCs w:val="22"/>
        </w:rPr>
        <w:t>in</w:t>
      </w:r>
      <w:r w:rsidRPr="00CA4E4C">
        <w:rPr>
          <w:rFonts w:cs="Arial"/>
          <w:szCs w:val="22"/>
        </w:rPr>
        <w:t xml:space="preserve"> SDG&amp;E’s 2016 GRC D.16-06-054</w:t>
      </w:r>
      <w:r w:rsidR="00823A98" w:rsidRPr="00CA4E4C">
        <w:rPr>
          <w:rFonts w:cs="Arial"/>
          <w:szCs w:val="22"/>
        </w:rPr>
        <w:t>;</w:t>
      </w:r>
    </w:p>
    <w:p w14:paraId="5DB114E9" w14:textId="77777777" w:rsidR="00DE2B79" w:rsidRPr="00CA4E4C" w:rsidRDefault="00CF0959" w:rsidP="00F31295">
      <w:pPr>
        <w:numPr>
          <w:ilvl w:val="0"/>
          <w:numId w:val="4"/>
        </w:numPr>
        <w:jc w:val="both"/>
        <w:rPr>
          <w:rFonts w:cs="Arial"/>
          <w:szCs w:val="22"/>
        </w:rPr>
      </w:pPr>
      <w:r w:rsidRPr="00CA4E4C">
        <w:rPr>
          <w:rFonts w:cs="Arial"/>
          <w:szCs w:val="22"/>
        </w:rPr>
        <w:t>Includes s</w:t>
      </w:r>
      <w:r w:rsidR="00DE2B79" w:rsidRPr="00CA4E4C">
        <w:rPr>
          <w:rFonts w:cs="Arial"/>
          <w:szCs w:val="22"/>
        </w:rPr>
        <w:t>avings estimates for potential th</w:t>
      </w:r>
      <w:r w:rsidR="00834768" w:rsidRPr="00CA4E4C">
        <w:rPr>
          <w:rFonts w:cs="Arial"/>
          <w:szCs w:val="22"/>
        </w:rPr>
        <w:t>ird-</w:t>
      </w:r>
      <w:r w:rsidRPr="00CA4E4C">
        <w:rPr>
          <w:rFonts w:cs="Arial"/>
          <w:szCs w:val="22"/>
        </w:rPr>
        <w:t>party programs; and</w:t>
      </w:r>
    </w:p>
    <w:p w14:paraId="6D7C1345" w14:textId="77777777" w:rsidR="00115965" w:rsidRPr="00CA4E4C" w:rsidRDefault="00115965" w:rsidP="00265B2B">
      <w:pPr>
        <w:numPr>
          <w:ilvl w:val="0"/>
          <w:numId w:val="4"/>
        </w:numPr>
        <w:jc w:val="both"/>
        <w:rPr>
          <w:rFonts w:cs="Arial"/>
          <w:szCs w:val="22"/>
        </w:rPr>
      </w:pPr>
      <w:r w:rsidRPr="00CA4E4C">
        <w:rPr>
          <w:rFonts w:cs="Arial"/>
          <w:szCs w:val="22"/>
        </w:rPr>
        <w:t>Updated C&amp;S savings</w:t>
      </w:r>
      <w:r w:rsidR="00E67410" w:rsidRPr="00CA4E4C">
        <w:rPr>
          <w:rFonts w:cs="Arial"/>
          <w:szCs w:val="22"/>
        </w:rPr>
        <w:t>.</w:t>
      </w:r>
    </w:p>
    <w:p w14:paraId="4BFC3C18" w14:textId="77777777" w:rsidR="00C07B20" w:rsidRPr="00CA4E4C" w:rsidRDefault="00C07B20" w:rsidP="00CF0959">
      <w:pPr>
        <w:rPr>
          <w:rFonts w:cs="Arial"/>
          <w:szCs w:val="22"/>
        </w:rPr>
      </w:pPr>
    </w:p>
    <w:p w14:paraId="269A52A4" w14:textId="38FCDA27" w:rsidR="00874F96" w:rsidRPr="00CA4E4C" w:rsidRDefault="00874F96" w:rsidP="00CF0959">
      <w:pPr>
        <w:rPr>
          <w:rFonts w:cs="Arial"/>
          <w:szCs w:val="22"/>
        </w:rPr>
      </w:pPr>
      <w:r w:rsidRPr="00CA4E4C">
        <w:rPr>
          <w:rFonts w:cs="Arial"/>
          <w:szCs w:val="22"/>
        </w:rPr>
        <w:t>SDG&amp;E’s 20</w:t>
      </w:r>
      <w:r w:rsidR="00DF68BD" w:rsidRPr="00CA4E4C">
        <w:rPr>
          <w:rFonts w:cs="Arial"/>
          <w:szCs w:val="22"/>
        </w:rPr>
        <w:t>20</w:t>
      </w:r>
      <w:r w:rsidRPr="00CA4E4C">
        <w:rPr>
          <w:rFonts w:cs="Arial"/>
          <w:szCs w:val="22"/>
        </w:rPr>
        <w:t xml:space="preserve"> portfolio forecast meets the Commission’s threshold of a TRC greater than 1.25 and therefore does not include any discussion on the following:</w:t>
      </w:r>
    </w:p>
    <w:p w14:paraId="096122F7" w14:textId="77777777" w:rsidR="00874F96" w:rsidRPr="00CA4E4C" w:rsidRDefault="00874F96" w:rsidP="00CF0959">
      <w:pPr>
        <w:rPr>
          <w:rFonts w:cs="Arial"/>
          <w:szCs w:val="22"/>
        </w:rPr>
      </w:pPr>
    </w:p>
    <w:p w14:paraId="6E8718D9" w14:textId="77777777" w:rsidR="00874F96" w:rsidRPr="00CA4E4C" w:rsidRDefault="00874F96" w:rsidP="00265B2B">
      <w:pPr>
        <w:pStyle w:val="ListParagraph"/>
        <w:numPr>
          <w:ilvl w:val="0"/>
          <w:numId w:val="6"/>
        </w:numPr>
        <w:ind w:left="1080"/>
        <w:jc w:val="both"/>
        <w:rPr>
          <w:rFonts w:cs="Arial"/>
        </w:rPr>
      </w:pPr>
      <w:r w:rsidRPr="00CA4E4C">
        <w:rPr>
          <w:rFonts w:cs="Arial"/>
        </w:rPr>
        <w:t>An explanation of why the PA is not proposing a portfolio that meets a 1.25 TRC;</w:t>
      </w:r>
    </w:p>
    <w:p w14:paraId="4FD122BC" w14:textId="77777777" w:rsidR="00874F96" w:rsidRPr="00CA4E4C" w:rsidRDefault="00874F96" w:rsidP="00265B2B">
      <w:pPr>
        <w:pStyle w:val="ListParagraph"/>
        <w:numPr>
          <w:ilvl w:val="0"/>
          <w:numId w:val="6"/>
        </w:numPr>
        <w:ind w:left="1080"/>
        <w:jc w:val="both"/>
        <w:rPr>
          <w:rFonts w:cs="Arial"/>
        </w:rPr>
      </w:pPr>
      <w:r w:rsidRPr="00CA4E4C">
        <w:rPr>
          <w:rFonts w:cs="Arial"/>
        </w:rPr>
        <w:t>Why the PA is confident that it will meet the evaluated 1.0 TRC for that year; and</w:t>
      </w:r>
    </w:p>
    <w:p w14:paraId="252E6156" w14:textId="77777777" w:rsidR="00874F96" w:rsidRPr="00CA4E4C" w:rsidRDefault="00874F96" w:rsidP="00265B2B">
      <w:pPr>
        <w:pStyle w:val="ListParagraph"/>
        <w:numPr>
          <w:ilvl w:val="0"/>
          <w:numId w:val="6"/>
        </w:numPr>
        <w:ind w:left="1080"/>
        <w:jc w:val="both"/>
        <w:rPr>
          <w:rFonts w:cs="Arial"/>
        </w:rPr>
      </w:pPr>
      <w:r w:rsidRPr="00CA4E4C">
        <w:rPr>
          <w:rFonts w:cs="Arial"/>
        </w:rPr>
        <w:t>How the PA intends to lower costs or increase savings going forward.</w:t>
      </w:r>
    </w:p>
    <w:p w14:paraId="7F58EE50" w14:textId="3DFF81DB" w:rsidR="00874F96" w:rsidRPr="00CA4E4C" w:rsidRDefault="00671D05" w:rsidP="00CF0959">
      <w:pPr>
        <w:rPr>
          <w:rFonts w:cs="Arial"/>
          <w:szCs w:val="22"/>
        </w:rPr>
      </w:pPr>
      <w:r w:rsidRPr="00CA4E4C">
        <w:rPr>
          <w:rFonts w:cs="Arial"/>
          <w:szCs w:val="22"/>
          <w:highlight w:val="yellow"/>
        </w:rPr>
        <w:t>SDG&amp;E provides its 201</w:t>
      </w:r>
      <w:r w:rsidR="002178C5" w:rsidRPr="00CA4E4C">
        <w:rPr>
          <w:rFonts w:cs="Arial"/>
          <w:szCs w:val="22"/>
          <w:highlight w:val="yellow"/>
        </w:rPr>
        <w:t>6</w:t>
      </w:r>
      <w:r w:rsidRPr="00CA4E4C">
        <w:rPr>
          <w:rFonts w:cs="Arial"/>
          <w:szCs w:val="22"/>
          <w:highlight w:val="yellow"/>
        </w:rPr>
        <w:t xml:space="preserve"> through 20</w:t>
      </w:r>
      <w:r w:rsidR="00E7675A" w:rsidRPr="00CA4E4C">
        <w:rPr>
          <w:rFonts w:cs="Arial"/>
          <w:szCs w:val="22"/>
          <w:highlight w:val="yellow"/>
        </w:rPr>
        <w:t>2</w:t>
      </w:r>
      <w:r w:rsidRPr="00CA4E4C">
        <w:rPr>
          <w:rFonts w:cs="Arial"/>
          <w:szCs w:val="22"/>
          <w:highlight w:val="yellow"/>
        </w:rPr>
        <w:t xml:space="preserve">5 </w:t>
      </w:r>
      <w:r w:rsidR="002178C5" w:rsidRPr="00CA4E4C">
        <w:rPr>
          <w:rFonts w:cs="Arial"/>
          <w:szCs w:val="22"/>
          <w:highlight w:val="yellow"/>
        </w:rPr>
        <w:t xml:space="preserve">forecast, recorded and evaluated </w:t>
      </w:r>
      <w:r w:rsidRPr="00CA4E4C">
        <w:rPr>
          <w:rFonts w:cs="Arial"/>
          <w:szCs w:val="22"/>
          <w:highlight w:val="yellow"/>
        </w:rPr>
        <w:t>energy savings (</w:t>
      </w:r>
      <w:r w:rsidR="00440B92" w:rsidRPr="00CA4E4C">
        <w:rPr>
          <w:rFonts w:cs="Arial"/>
          <w:szCs w:val="22"/>
          <w:highlight w:val="yellow"/>
        </w:rPr>
        <w:t>k</w:t>
      </w:r>
      <w:r w:rsidRPr="00CA4E4C">
        <w:rPr>
          <w:rFonts w:cs="Arial"/>
          <w:szCs w:val="22"/>
          <w:highlight w:val="yellow"/>
        </w:rPr>
        <w:t>W</w:t>
      </w:r>
      <w:r w:rsidR="00440B92" w:rsidRPr="00CA4E4C">
        <w:rPr>
          <w:rFonts w:cs="Arial"/>
          <w:szCs w:val="22"/>
          <w:highlight w:val="yellow"/>
        </w:rPr>
        <w:t>h</w:t>
      </w:r>
      <w:r w:rsidRPr="00CA4E4C">
        <w:rPr>
          <w:rFonts w:cs="Arial"/>
          <w:szCs w:val="22"/>
          <w:highlight w:val="yellow"/>
        </w:rPr>
        <w:t xml:space="preserve">, </w:t>
      </w:r>
      <w:r w:rsidR="00440B92" w:rsidRPr="00CA4E4C">
        <w:rPr>
          <w:rFonts w:cs="Arial"/>
          <w:szCs w:val="22"/>
          <w:highlight w:val="yellow"/>
        </w:rPr>
        <w:t>k</w:t>
      </w:r>
      <w:r w:rsidRPr="00CA4E4C">
        <w:rPr>
          <w:rFonts w:cs="Arial"/>
          <w:szCs w:val="22"/>
          <w:highlight w:val="yellow"/>
        </w:rPr>
        <w:t xml:space="preserve">W, </w:t>
      </w:r>
      <w:r w:rsidR="00DF49C8" w:rsidRPr="00CA4E4C">
        <w:rPr>
          <w:rFonts w:cs="Arial"/>
          <w:szCs w:val="22"/>
          <w:highlight w:val="yellow"/>
        </w:rPr>
        <w:t>a</w:t>
      </w:r>
      <w:r w:rsidRPr="00CA4E4C">
        <w:rPr>
          <w:rFonts w:cs="Arial"/>
          <w:szCs w:val="22"/>
          <w:highlight w:val="yellow"/>
        </w:rPr>
        <w:t xml:space="preserve">nd </w:t>
      </w:r>
      <w:r w:rsidR="00DF49C8" w:rsidRPr="00CA4E4C">
        <w:rPr>
          <w:rFonts w:cs="Arial"/>
          <w:szCs w:val="22"/>
          <w:highlight w:val="yellow"/>
        </w:rPr>
        <w:t>Therms</w:t>
      </w:r>
      <w:r w:rsidRPr="00CA4E4C">
        <w:rPr>
          <w:rFonts w:cs="Arial"/>
          <w:szCs w:val="22"/>
          <w:highlight w:val="yellow"/>
        </w:rPr>
        <w:t>) in Appendix B.</w:t>
      </w:r>
      <w:r w:rsidR="002178C5" w:rsidRPr="00CA4E4C">
        <w:rPr>
          <w:rStyle w:val="FootnoteReference"/>
          <w:rFonts w:cs="Arial"/>
          <w:szCs w:val="22"/>
          <w:highlight w:val="yellow"/>
        </w:rPr>
        <w:footnoteReference w:id="10"/>
      </w:r>
    </w:p>
    <w:p w14:paraId="11BB7D9C" w14:textId="01D1F935" w:rsidR="00671D05" w:rsidRPr="00CA4E4C" w:rsidRDefault="00671D05" w:rsidP="00CF0959">
      <w:pPr>
        <w:rPr>
          <w:rFonts w:cs="Arial"/>
          <w:szCs w:val="22"/>
        </w:rPr>
      </w:pPr>
    </w:p>
    <w:p w14:paraId="6F5204AC" w14:textId="39603296" w:rsidR="002D1E49" w:rsidRPr="00CA4E4C" w:rsidRDefault="002D1E49" w:rsidP="000A524D">
      <w:pPr>
        <w:pStyle w:val="Heading2"/>
        <w:rPr>
          <w:rFonts w:cs="Arial"/>
        </w:rPr>
      </w:pPr>
      <w:r w:rsidRPr="00CA4E4C">
        <w:rPr>
          <w:rFonts w:cs="Arial"/>
        </w:rPr>
        <w:t>SDG&amp;E Historical Cost Effectiveness Information</w:t>
      </w:r>
    </w:p>
    <w:p w14:paraId="3A816681" w14:textId="11463DAE" w:rsidR="002D1E49" w:rsidRPr="00CA4E4C" w:rsidRDefault="002D1E49" w:rsidP="000A524D">
      <w:pPr>
        <w:rPr>
          <w:rFonts w:cs="Arial"/>
        </w:rPr>
      </w:pPr>
    </w:p>
    <w:p w14:paraId="4EB8F561" w14:textId="04C739FB" w:rsidR="002D1E49" w:rsidRPr="00CA4E4C" w:rsidRDefault="002D1E49" w:rsidP="000A524D">
      <w:pPr>
        <w:rPr>
          <w:rFonts w:cs="Arial"/>
        </w:rPr>
      </w:pPr>
      <w:r w:rsidRPr="00CA4E4C">
        <w:rPr>
          <w:rFonts w:cs="Arial"/>
        </w:rPr>
        <w:t>D.18-05-041 requires claimed and evaluated TRC and Program Administrator Cost (PAC) of each program and of each sector for the two most recent years for which data is available.    As evaluation activity did not occur in 2016 and 2017 and evaluations commence</w:t>
      </w:r>
      <w:r w:rsidR="006501C9">
        <w:rPr>
          <w:rFonts w:cs="Arial"/>
        </w:rPr>
        <w:t>d</w:t>
      </w:r>
      <w:r w:rsidRPr="00CA4E4C">
        <w:rPr>
          <w:rFonts w:cs="Arial"/>
        </w:rPr>
        <w:t xml:space="preserve"> in late 2018, this information is not available to be include</w:t>
      </w:r>
      <w:r w:rsidR="00B2162A">
        <w:rPr>
          <w:rFonts w:cs="Arial"/>
        </w:rPr>
        <w:t>d</w:t>
      </w:r>
      <w:r w:rsidRPr="00CA4E4C">
        <w:rPr>
          <w:rFonts w:cs="Arial"/>
        </w:rPr>
        <w:t xml:space="preserve"> in this advice letter.  Claimed TRC and PAC for 2016 and 2017 are available on CEDARS.  D.18-05-041 also requires a showing of forecasted, claimed and evaluated TRC and PAC at the portfolio going back to the beginning of t</w:t>
      </w:r>
      <w:r w:rsidR="000A524D" w:rsidRPr="00CA4E4C">
        <w:rPr>
          <w:rFonts w:cs="Arial"/>
        </w:rPr>
        <w:t xml:space="preserve">he Rolling Portfolio (2016).  SDG&amp;E </w:t>
      </w:r>
      <w:r w:rsidRPr="00CA4E4C">
        <w:rPr>
          <w:rFonts w:cs="Arial"/>
        </w:rPr>
        <w:t xml:space="preserve">provides this information in Table </w:t>
      </w:r>
      <w:r w:rsidR="002B7D6B">
        <w:rPr>
          <w:rFonts w:cs="Arial"/>
        </w:rPr>
        <w:t>8</w:t>
      </w:r>
      <w:r w:rsidRPr="00CA4E4C">
        <w:rPr>
          <w:rFonts w:cs="Arial"/>
        </w:rPr>
        <w:t xml:space="preserve"> below.</w:t>
      </w:r>
    </w:p>
    <w:p w14:paraId="0F373A68" w14:textId="54C85F74" w:rsidR="00C90C03" w:rsidRPr="00CA4E4C" w:rsidRDefault="00C90C03" w:rsidP="000A524D">
      <w:pPr>
        <w:rPr>
          <w:rFonts w:cs="Arial"/>
        </w:rPr>
      </w:pPr>
    </w:p>
    <w:p w14:paraId="2602BD68" w14:textId="103CAB27" w:rsidR="00C90C03" w:rsidRPr="00CA4E4C" w:rsidRDefault="00C90C03" w:rsidP="008E498F">
      <w:pPr>
        <w:keepNext/>
        <w:keepLines/>
        <w:jc w:val="center"/>
        <w:rPr>
          <w:rFonts w:cs="Arial"/>
          <w:b/>
        </w:rPr>
      </w:pPr>
      <w:r w:rsidRPr="00CA4E4C">
        <w:rPr>
          <w:rFonts w:cs="Arial"/>
          <w:b/>
          <w:highlight w:val="yellow"/>
        </w:rPr>
        <w:lastRenderedPageBreak/>
        <w:t xml:space="preserve">Table </w:t>
      </w:r>
      <w:r w:rsidR="00A75A1B">
        <w:rPr>
          <w:rFonts w:cs="Arial"/>
          <w:b/>
          <w:highlight w:val="yellow"/>
        </w:rPr>
        <w:t>8</w:t>
      </w:r>
      <w:r w:rsidRPr="00CA4E4C">
        <w:rPr>
          <w:rFonts w:cs="Arial"/>
          <w:b/>
          <w:highlight w:val="yellow"/>
        </w:rPr>
        <w:t>: SDG&amp;E Historical Cost Effectiveness Data</w:t>
      </w:r>
    </w:p>
    <w:p w14:paraId="0E0FC64F" w14:textId="77777777" w:rsidR="006F19C2" w:rsidRPr="00CA4E4C" w:rsidRDefault="006F19C2" w:rsidP="00CF0959">
      <w:pPr>
        <w:rPr>
          <w:rFonts w:cs="Arial"/>
          <w:szCs w:val="22"/>
        </w:rPr>
      </w:pPr>
    </w:p>
    <w:p w14:paraId="00608FA7" w14:textId="6ACF5028" w:rsidR="006F19C2" w:rsidRPr="00CA4E4C" w:rsidRDefault="00051BF4" w:rsidP="00CF0959">
      <w:pPr>
        <w:rPr>
          <w:rFonts w:cs="Arial"/>
          <w:szCs w:val="22"/>
        </w:rPr>
      </w:pPr>
      <w:r w:rsidRPr="00051BF4">
        <w:rPr>
          <w:noProof/>
        </w:rPr>
        <w:drawing>
          <wp:inline distT="0" distB="0" distL="0" distR="0" wp14:anchorId="563246DD" wp14:editId="6181CC95">
            <wp:extent cx="5943600" cy="286410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43600" cy="2864105"/>
                    </a:xfrm>
                    <a:prstGeom prst="rect">
                      <a:avLst/>
                    </a:prstGeom>
                    <a:noFill/>
                    <a:ln>
                      <a:noFill/>
                    </a:ln>
                  </pic:spPr>
                </pic:pic>
              </a:graphicData>
            </a:graphic>
          </wp:inline>
        </w:drawing>
      </w:r>
    </w:p>
    <w:p w14:paraId="12C14DF7" w14:textId="1CD8BE85" w:rsidR="00C0745B" w:rsidRPr="00CA4E4C" w:rsidRDefault="00C0745B" w:rsidP="00CF0959">
      <w:pPr>
        <w:rPr>
          <w:rFonts w:cs="Arial"/>
          <w:szCs w:val="22"/>
        </w:rPr>
      </w:pPr>
    </w:p>
    <w:p w14:paraId="4F3F59B5" w14:textId="0E3773C2" w:rsidR="00C90C03" w:rsidRPr="00CA4E4C" w:rsidRDefault="00C90C03" w:rsidP="00CF0959">
      <w:pPr>
        <w:rPr>
          <w:rFonts w:cs="Arial"/>
          <w:szCs w:val="22"/>
        </w:rPr>
      </w:pPr>
      <w:r w:rsidRPr="00CA4E4C">
        <w:rPr>
          <w:rFonts w:cs="Arial"/>
          <w:szCs w:val="22"/>
        </w:rPr>
        <w:t>Notes:</w:t>
      </w:r>
    </w:p>
    <w:p w14:paraId="6CFDC8CA" w14:textId="77777777" w:rsidR="00C90C03" w:rsidRPr="00CA4E4C" w:rsidRDefault="00C90C03" w:rsidP="00CF0959">
      <w:pPr>
        <w:rPr>
          <w:rFonts w:cs="Arial"/>
          <w:szCs w:val="22"/>
        </w:rPr>
      </w:pPr>
    </w:p>
    <w:p w14:paraId="5F38F6F3" w14:textId="6A14166A" w:rsidR="00C90C03" w:rsidRPr="00CA4E4C" w:rsidRDefault="00C90C03" w:rsidP="00F60DFC">
      <w:pPr>
        <w:ind w:left="576" w:hanging="288"/>
        <w:rPr>
          <w:rFonts w:cs="Arial"/>
        </w:rPr>
      </w:pPr>
      <w:r w:rsidRPr="00CA4E4C">
        <w:rPr>
          <w:rFonts w:cs="Arial"/>
        </w:rPr>
        <w:t xml:space="preserve">(1) Source: </w:t>
      </w:r>
      <w:r w:rsidRPr="00CA4E4C">
        <w:rPr>
          <w:rFonts w:cs="Arial"/>
          <w:i/>
        </w:rPr>
        <w:t>Energy Efficiency Portfolio Report</w:t>
      </w:r>
      <w:r w:rsidRPr="00CA4E4C">
        <w:rPr>
          <w:rFonts w:cs="Arial"/>
        </w:rPr>
        <w:t>, California Public Uti</w:t>
      </w:r>
      <w:r w:rsidR="000B6997" w:rsidRPr="00CA4E4C">
        <w:rPr>
          <w:rFonts w:cs="Arial"/>
        </w:rPr>
        <w:t xml:space="preserve">lity Commission, May 2018, </w:t>
      </w:r>
      <w:r w:rsidRPr="00CA4E4C">
        <w:rPr>
          <w:rFonts w:cs="Arial"/>
        </w:rPr>
        <w:t>figures ex</w:t>
      </w:r>
      <w:r w:rsidR="002E1446" w:rsidRPr="00CA4E4C">
        <w:rPr>
          <w:rFonts w:cs="Arial"/>
        </w:rPr>
        <w:t>c</w:t>
      </w:r>
      <w:r w:rsidRPr="00CA4E4C">
        <w:rPr>
          <w:rFonts w:cs="Arial"/>
        </w:rPr>
        <w:t>lude Codes and Standards, p.20.</w:t>
      </w:r>
    </w:p>
    <w:p w14:paraId="53224FA5" w14:textId="44FC25E3" w:rsidR="000B6997" w:rsidRPr="00CA4E4C" w:rsidRDefault="000B6997" w:rsidP="00F60DFC">
      <w:pPr>
        <w:ind w:left="576" w:hanging="288"/>
        <w:rPr>
          <w:rFonts w:cs="Arial"/>
        </w:rPr>
      </w:pPr>
      <w:r w:rsidRPr="00CA4E4C">
        <w:rPr>
          <w:rFonts w:cs="Arial"/>
        </w:rPr>
        <w:t xml:space="preserve">(2) Source: </w:t>
      </w:r>
      <w:r w:rsidR="002E1446" w:rsidRPr="00CA4E4C">
        <w:rPr>
          <w:rFonts w:cs="Arial"/>
          <w:i/>
        </w:rPr>
        <w:t>Portfolio Report</w:t>
      </w:r>
      <w:r w:rsidR="002E1446" w:rsidRPr="00CA4E4C">
        <w:rPr>
          <w:rFonts w:cs="Arial"/>
        </w:rPr>
        <w:t>, California Public Utility Commission, May 2018, figures exclude Codes and Standards.</w:t>
      </w:r>
    </w:p>
    <w:p w14:paraId="4C46FB62" w14:textId="3B76CAFD" w:rsidR="002E1446" w:rsidRPr="00CA4E4C" w:rsidRDefault="002E1446" w:rsidP="00F60DFC">
      <w:pPr>
        <w:ind w:left="576" w:hanging="288"/>
        <w:rPr>
          <w:rFonts w:cs="Arial"/>
        </w:rPr>
      </w:pPr>
      <w:r w:rsidRPr="00CA4E4C">
        <w:rPr>
          <w:rFonts w:cs="Arial"/>
        </w:rPr>
        <w:t>(3) SDG&amp;E includes its GRC overheads that are required by D.</w:t>
      </w:r>
      <w:r w:rsidR="006017C1" w:rsidRPr="00CA4E4C">
        <w:rPr>
          <w:rFonts w:cs="Arial"/>
        </w:rPr>
        <w:t xml:space="preserve">12-11-015 </w:t>
      </w:r>
      <w:r w:rsidRPr="00CA4E4C">
        <w:rPr>
          <w:rFonts w:cs="Arial"/>
        </w:rPr>
        <w:t>OP</w:t>
      </w:r>
      <w:r w:rsidR="006017C1" w:rsidRPr="00CA4E4C">
        <w:rPr>
          <w:rFonts w:cs="Arial"/>
        </w:rPr>
        <w:t xml:space="preserve"> 39</w:t>
      </w:r>
      <w:r w:rsidRPr="00CA4E4C">
        <w:rPr>
          <w:rFonts w:cs="Arial"/>
        </w:rPr>
        <w:t xml:space="preserve"> in its Forecast and Reported cost effectiveness results. The cost effectiveness results do not include market effects.</w:t>
      </w:r>
    </w:p>
    <w:p w14:paraId="36377082" w14:textId="77777777" w:rsidR="002E1446" w:rsidRPr="00CA4E4C" w:rsidRDefault="002E1446" w:rsidP="00CF0959">
      <w:pPr>
        <w:rPr>
          <w:rFonts w:cs="Arial"/>
          <w:szCs w:val="22"/>
        </w:rPr>
      </w:pPr>
    </w:p>
    <w:p w14:paraId="533F0C60" w14:textId="77777777" w:rsidR="00671D05" w:rsidRPr="00CA4E4C" w:rsidRDefault="00671D05" w:rsidP="00CF0959">
      <w:pPr>
        <w:pStyle w:val="Heading1"/>
      </w:pPr>
      <w:r w:rsidRPr="00CA4E4C">
        <w:t>2019 Portfolio Buget Caps and Targets</w:t>
      </w:r>
    </w:p>
    <w:p w14:paraId="34CAA24F" w14:textId="77777777" w:rsidR="00671D05" w:rsidRPr="00CA4E4C" w:rsidRDefault="00671D05" w:rsidP="00FB70FE">
      <w:pPr>
        <w:rPr>
          <w:rFonts w:cs="Arial"/>
        </w:rPr>
      </w:pPr>
    </w:p>
    <w:p w14:paraId="5CC17110" w14:textId="27905476" w:rsidR="00AA08F2" w:rsidRPr="00CA4E4C" w:rsidRDefault="00AA08F2" w:rsidP="00671D05">
      <w:pPr>
        <w:rPr>
          <w:rFonts w:eastAsia="Calibri" w:cs="Arial"/>
          <w:spacing w:val="-1"/>
          <w:sz w:val="24"/>
          <w:szCs w:val="24"/>
        </w:rPr>
      </w:pPr>
      <w:r w:rsidRPr="00CA4E4C">
        <w:rPr>
          <w:rFonts w:eastAsia="Calibri" w:cs="Arial"/>
          <w:sz w:val="24"/>
          <w:szCs w:val="24"/>
        </w:rPr>
        <w:t xml:space="preserve">Table </w:t>
      </w:r>
      <w:r w:rsidR="00613E28">
        <w:rPr>
          <w:rFonts w:eastAsia="Calibri" w:cs="Arial"/>
          <w:sz w:val="24"/>
          <w:szCs w:val="24"/>
        </w:rPr>
        <w:t>9</w:t>
      </w:r>
      <w:r w:rsidRPr="00CA4E4C">
        <w:rPr>
          <w:rFonts w:eastAsia="Calibri" w:cs="Arial"/>
          <w:sz w:val="24"/>
          <w:szCs w:val="24"/>
        </w:rPr>
        <w:t xml:space="preserve"> provides a summary of SDG&amp;E’s compliance with the caps and targets required by D.09-09-047.</w:t>
      </w:r>
    </w:p>
    <w:p w14:paraId="041B4DC8" w14:textId="77777777" w:rsidR="00AA08F2" w:rsidRPr="00CA4E4C" w:rsidRDefault="00AA08F2" w:rsidP="00671D05">
      <w:pPr>
        <w:rPr>
          <w:rFonts w:eastAsia="Calibri" w:cs="Arial"/>
          <w:spacing w:val="-1"/>
          <w:sz w:val="24"/>
          <w:szCs w:val="24"/>
        </w:rPr>
      </w:pPr>
    </w:p>
    <w:p w14:paraId="26839267" w14:textId="4ED2DFB8" w:rsidR="00AA08F2" w:rsidRPr="00B75675" w:rsidRDefault="00AA08F2">
      <w:pPr>
        <w:jc w:val="center"/>
        <w:rPr>
          <w:rFonts w:eastAsia="Calibri" w:cs="Arial"/>
          <w:b/>
          <w:bCs/>
          <w:spacing w:val="-1"/>
          <w:sz w:val="24"/>
          <w:szCs w:val="24"/>
        </w:rPr>
      </w:pPr>
      <w:r w:rsidRPr="00CA4E4C">
        <w:rPr>
          <w:rFonts w:eastAsia="Calibri" w:cs="Arial"/>
          <w:b/>
          <w:bCs/>
          <w:spacing w:val="-1"/>
          <w:sz w:val="24"/>
          <w:szCs w:val="24"/>
        </w:rPr>
        <w:t xml:space="preserve">Table </w:t>
      </w:r>
      <w:r w:rsidR="00A75A1B">
        <w:rPr>
          <w:rFonts w:eastAsia="Calibri" w:cs="Arial"/>
          <w:b/>
          <w:bCs/>
          <w:spacing w:val="-1"/>
          <w:sz w:val="24"/>
          <w:szCs w:val="24"/>
        </w:rPr>
        <w:t>9</w:t>
      </w:r>
      <w:r w:rsidRPr="00CA4E4C">
        <w:rPr>
          <w:rFonts w:eastAsia="Calibri" w:cs="Arial"/>
          <w:b/>
          <w:bCs/>
          <w:spacing w:val="-1"/>
          <w:sz w:val="24"/>
          <w:szCs w:val="24"/>
        </w:rPr>
        <w:t xml:space="preserve">: </w:t>
      </w:r>
      <w:r w:rsidRPr="00CA4E4C">
        <w:rPr>
          <w:rFonts w:cs="Arial"/>
          <w:b/>
          <w:bCs/>
        </w:rPr>
        <w:t>2019 EE Portfolio Budget and Budget Caps/Targets</w:t>
      </w:r>
    </w:p>
    <w:p w14:paraId="20943B5B" w14:textId="77777777" w:rsidR="00671D05" w:rsidRPr="00CA4E4C" w:rsidRDefault="00671D05" w:rsidP="00FB70FE">
      <w:pPr>
        <w:rPr>
          <w:rFonts w:cs="Arial"/>
        </w:rPr>
      </w:pPr>
    </w:p>
    <w:p w14:paraId="0A4CBF3D" w14:textId="5B5E2252" w:rsidR="008845EC" w:rsidRPr="00CA4E4C" w:rsidRDefault="00C35707" w:rsidP="00FB70FE">
      <w:pPr>
        <w:rPr>
          <w:rFonts w:cs="Arial"/>
        </w:rPr>
      </w:pPr>
      <w:r w:rsidRPr="00C35707">
        <w:rPr>
          <w:noProof/>
        </w:rPr>
        <w:drawing>
          <wp:inline distT="0" distB="0" distL="0" distR="0" wp14:anchorId="52C230D4" wp14:editId="25111EB7">
            <wp:extent cx="5943600" cy="1118027"/>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943600" cy="1118027"/>
                    </a:xfrm>
                    <a:prstGeom prst="rect">
                      <a:avLst/>
                    </a:prstGeom>
                    <a:noFill/>
                    <a:ln>
                      <a:noFill/>
                    </a:ln>
                  </pic:spPr>
                </pic:pic>
              </a:graphicData>
            </a:graphic>
          </wp:inline>
        </w:drawing>
      </w:r>
    </w:p>
    <w:p w14:paraId="38B09CF4" w14:textId="77777777" w:rsidR="008845EC" w:rsidRPr="00CA4E4C" w:rsidRDefault="008845EC" w:rsidP="00FB70FE">
      <w:pPr>
        <w:rPr>
          <w:rFonts w:cs="Arial"/>
        </w:rPr>
      </w:pPr>
    </w:p>
    <w:p w14:paraId="042B6047" w14:textId="7D44FC79" w:rsidR="00A648F3" w:rsidRPr="00CA4E4C" w:rsidRDefault="00A648F3" w:rsidP="00FB70FE">
      <w:pPr>
        <w:rPr>
          <w:rFonts w:cs="Arial"/>
        </w:rPr>
      </w:pPr>
      <w:r w:rsidRPr="00CA4E4C">
        <w:rPr>
          <w:rFonts w:cs="Arial"/>
        </w:rPr>
        <w:t>Notes:</w:t>
      </w:r>
    </w:p>
    <w:p w14:paraId="5A969E93" w14:textId="77777777" w:rsidR="00A648F3" w:rsidRPr="00CA4E4C" w:rsidRDefault="00A648F3" w:rsidP="00FB70FE">
      <w:pPr>
        <w:rPr>
          <w:rFonts w:cs="Arial"/>
        </w:rPr>
      </w:pPr>
    </w:p>
    <w:p w14:paraId="5A3C1DEC" w14:textId="77777777" w:rsidR="00A648F3" w:rsidRPr="00CA4E4C" w:rsidRDefault="00A648F3" w:rsidP="00742E77">
      <w:pPr>
        <w:ind w:left="576" w:hanging="288"/>
        <w:jc w:val="both"/>
        <w:rPr>
          <w:rFonts w:cs="Arial"/>
        </w:rPr>
      </w:pPr>
      <w:r w:rsidRPr="00CA4E4C">
        <w:rPr>
          <w:rFonts w:cs="Arial"/>
        </w:rPr>
        <w:t>(1) Total Budget for percentage basis calculation includes authorized EE budget, OBF Loan Pool and GRC loaders associated with EE FTEs.</w:t>
      </w:r>
    </w:p>
    <w:p w14:paraId="042FB944" w14:textId="26AAB095" w:rsidR="00A648F3" w:rsidRPr="00CA4E4C" w:rsidRDefault="00A648F3" w:rsidP="00742E77">
      <w:pPr>
        <w:ind w:left="576" w:hanging="288"/>
        <w:jc w:val="both"/>
        <w:rPr>
          <w:rFonts w:cs="Arial"/>
        </w:rPr>
      </w:pPr>
      <w:r w:rsidRPr="00CA4E4C">
        <w:rPr>
          <w:rFonts w:cs="Arial"/>
        </w:rPr>
        <w:lastRenderedPageBreak/>
        <w:t>(2) FTE loaders were adopted in SDG&amp;E 2016 GRC D.16-06-054</w:t>
      </w:r>
    </w:p>
    <w:p w14:paraId="35E30865" w14:textId="77777777" w:rsidR="00A648F3" w:rsidRPr="00CA4E4C" w:rsidRDefault="00A648F3" w:rsidP="00742E77">
      <w:pPr>
        <w:ind w:left="576" w:hanging="288"/>
        <w:jc w:val="both"/>
        <w:rPr>
          <w:rFonts w:cs="Arial"/>
        </w:rPr>
      </w:pPr>
      <w:r w:rsidRPr="00CA4E4C">
        <w:rPr>
          <w:rFonts w:cs="Arial"/>
        </w:rPr>
        <w:t>(3) ICP, Workman's Comp and PLPD Loaders follows labor, therefore are associated with the Admin, ME&amp;O and DI Labor</w:t>
      </w:r>
    </w:p>
    <w:p w14:paraId="61C5E85A" w14:textId="77777777" w:rsidR="00A648F3" w:rsidRPr="00CA4E4C" w:rsidRDefault="00A648F3" w:rsidP="00742E77">
      <w:pPr>
        <w:ind w:left="576" w:hanging="288"/>
        <w:jc w:val="both"/>
        <w:rPr>
          <w:rFonts w:cs="Arial"/>
        </w:rPr>
      </w:pPr>
      <w:r w:rsidRPr="00CA4E4C">
        <w:rPr>
          <w:rFonts w:cs="Arial"/>
        </w:rPr>
        <w:t>(4) Administrative budget does not include EM&amp;V.</w:t>
      </w:r>
    </w:p>
    <w:p w14:paraId="006FA07D" w14:textId="77777777" w:rsidR="00A648F3" w:rsidRPr="00CA4E4C" w:rsidRDefault="00A648F3" w:rsidP="00742E77">
      <w:pPr>
        <w:ind w:left="576" w:hanging="288"/>
        <w:jc w:val="both"/>
        <w:rPr>
          <w:rFonts w:cs="Arial"/>
        </w:rPr>
      </w:pPr>
      <w:r w:rsidRPr="00CA4E4C">
        <w:rPr>
          <w:rFonts w:cs="Arial"/>
        </w:rPr>
        <w:t>(5) EM&amp;V is 4% of authorized EE Budget.</w:t>
      </w:r>
    </w:p>
    <w:p w14:paraId="556C7C14" w14:textId="77777777" w:rsidR="00A648F3" w:rsidRPr="00CA4E4C" w:rsidRDefault="00A648F3" w:rsidP="00742E77">
      <w:pPr>
        <w:ind w:left="576" w:hanging="288"/>
        <w:jc w:val="both"/>
        <w:rPr>
          <w:rFonts w:cs="Arial"/>
        </w:rPr>
      </w:pPr>
      <w:r w:rsidRPr="00CA4E4C">
        <w:rPr>
          <w:rFonts w:cs="Arial"/>
        </w:rPr>
        <w:t>(6) Total EE budget does not include Statewide ME&amp;O.</w:t>
      </w:r>
    </w:p>
    <w:p w14:paraId="6B01A1F8" w14:textId="1409C5BC" w:rsidR="00A648F3" w:rsidRPr="00CA4E4C" w:rsidRDefault="00A648F3" w:rsidP="00742E77">
      <w:pPr>
        <w:ind w:left="576" w:hanging="288"/>
        <w:jc w:val="both"/>
        <w:rPr>
          <w:rFonts w:cs="Arial"/>
        </w:rPr>
      </w:pPr>
      <w:r w:rsidRPr="00CA4E4C">
        <w:rPr>
          <w:rFonts w:cs="Arial"/>
        </w:rPr>
        <w:t xml:space="preserve">(7) </w:t>
      </w:r>
      <w:r w:rsidR="00F0316D" w:rsidRPr="00CA4E4C">
        <w:rPr>
          <w:rFonts w:cs="Arial"/>
        </w:rPr>
        <w:t>The loan pool is</w:t>
      </w:r>
      <w:r w:rsidRPr="00CA4E4C">
        <w:rPr>
          <w:rFonts w:cs="Arial"/>
        </w:rPr>
        <w:t xml:space="preserve"> part of the Incentives.</w:t>
      </w:r>
    </w:p>
    <w:p w14:paraId="5298A433" w14:textId="77777777" w:rsidR="00A648F3" w:rsidRPr="00CA4E4C" w:rsidRDefault="00A648F3" w:rsidP="00FB70FE">
      <w:pPr>
        <w:rPr>
          <w:rFonts w:cs="Arial"/>
        </w:rPr>
      </w:pPr>
    </w:p>
    <w:p w14:paraId="756C7B5B" w14:textId="7CFBC14A" w:rsidR="00AA08F2" w:rsidRPr="00CA4E4C" w:rsidRDefault="00AA08F2" w:rsidP="00742E77">
      <w:pPr>
        <w:jc w:val="both"/>
        <w:rPr>
          <w:rFonts w:eastAsia="Arial" w:cs="Arial"/>
          <w:sz w:val="24"/>
          <w:szCs w:val="24"/>
        </w:rPr>
      </w:pPr>
      <w:r w:rsidRPr="00CA4E4C">
        <w:rPr>
          <w:rFonts w:eastAsia="Arial" w:cs="Arial"/>
          <w:spacing w:val="-1"/>
          <w:sz w:val="24"/>
          <w:szCs w:val="24"/>
        </w:rPr>
        <w:t>SDG&amp;E will report the status of its budget caps and targets</w:t>
      </w:r>
      <w:r w:rsidRPr="00CA4E4C">
        <w:rPr>
          <w:rFonts w:eastAsia="Arial" w:cs="Arial"/>
          <w:sz w:val="24"/>
          <w:szCs w:val="24"/>
        </w:rPr>
        <w:t xml:space="preserve"> </w:t>
      </w:r>
      <w:r w:rsidRPr="00CA4E4C">
        <w:rPr>
          <w:rFonts w:eastAsia="Arial" w:cs="Arial"/>
          <w:spacing w:val="-1"/>
          <w:sz w:val="24"/>
          <w:szCs w:val="24"/>
        </w:rPr>
        <w:t>based on actual</w:t>
      </w:r>
      <w:r w:rsidRPr="00CA4E4C">
        <w:rPr>
          <w:rFonts w:eastAsia="Arial" w:cs="Arial"/>
          <w:spacing w:val="30"/>
          <w:sz w:val="24"/>
          <w:szCs w:val="24"/>
        </w:rPr>
        <w:t xml:space="preserve"> </w:t>
      </w:r>
      <w:r w:rsidRPr="00CA4E4C">
        <w:rPr>
          <w:rFonts w:eastAsia="Arial" w:cs="Arial"/>
          <w:sz w:val="24"/>
          <w:szCs w:val="24"/>
        </w:rPr>
        <w:t xml:space="preserve">expenditures in its </w:t>
      </w:r>
      <w:r w:rsidRPr="00CA4E4C">
        <w:rPr>
          <w:rFonts w:eastAsia="Arial" w:cs="Arial"/>
          <w:spacing w:val="-1"/>
          <w:sz w:val="24"/>
          <w:szCs w:val="24"/>
        </w:rPr>
        <w:t>quarterly reports submitted through the Commission’s EESTATS</w:t>
      </w:r>
      <w:r w:rsidRPr="00CA4E4C">
        <w:rPr>
          <w:rFonts w:eastAsia="Arial" w:cs="Arial"/>
          <w:spacing w:val="29"/>
          <w:sz w:val="24"/>
          <w:szCs w:val="24"/>
        </w:rPr>
        <w:t xml:space="preserve"> </w:t>
      </w:r>
      <w:r w:rsidRPr="00CA4E4C">
        <w:rPr>
          <w:rFonts w:eastAsia="Arial" w:cs="Arial"/>
          <w:sz w:val="24"/>
          <w:szCs w:val="24"/>
        </w:rPr>
        <w:t>website.</w:t>
      </w:r>
      <w:r w:rsidR="00630D3D" w:rsidRPr="00CA4E4C">
        <w:rPr>
          <w:rStyle w:val="FootnoteReference"/>
          <w:rFonts w:eastAsia="Arial" w:cs="Arial"/>
          <w:sz w:val="24"/>
          <w:szCs w:val="24"/>
        </w:rPr>
        <w:footnoteReference w:id="11"/>
      </w:r>
    </w:p>
    <w:p w14:paraId="5DC5369C" w14:textId="77777777" w:rsidR="00AA08F2" w:rsidRPr="00CA4E4C" w:rsidRDefault="00AA08F2" w:rsidP="00FB70FE">
      <w:pPr>
        <w:rPr>
          <w:rFonts w:cs="Arial"/>
        </w:rPr>
      </w:pPr>
    </w:p>
    <w:p w14:paraId="71CCF5E1" w14:textId="5FB2B579" w:rsidR="00F82E2E" w:rsidRPr="00CA4E4C" w:rsidRDefault="00EB6782" w:rsidP="00CF0959">
      <w:pPr>
        <w:pStyle w:val="Heading1"/>
      </w:pPr>
      <w:r w:rsidRPr="00CA4E4C">
        <w:t>20</w:t>
      </w:r>
      <w:r w:rsidR="00C4564A" w:rsidRPr="00CA4E4C">
        <w:t>20</w:t>
      </w:r>
      <w:r w:rsidRPr="00CA4E4C">
        <w:t xml:space="preserve"> </w:t>
      </w:r>
      <w:r w:rsidR="002068FB" w:rsidRPr="00CA4E4C">
        <w:t xml:space="preserve">PORTFOLIO AND </w:t>
      </w:r>
      <w:r w:rsidR="004944D1" w:rsidRPr="00CA4E4C">
        <w:t>Business Sector</w:t>
      </w:r>
      <w:r w:rsidR="00194235" w:rsidRPr="00CA4E4C">
        <w:t xml:space="preserve"> CHANGES</w:t>
      </w:r>
    </w:p>
    <w:p w14:paraId="5F01B890" w14:textId="77777777" w:rsidR="00194235" w:rsidRPr="00CA4E4C" w:rsidRDefault="00194235" w:rsidP="00CF0959">
      <w:pPr>
        <w:keepNext/>
        <w:keepLines/>
        <w:rPr>
          <w:rFonts w:cs="Arial"/>
          <w:b/>
          <w:szCs w:val="22"/>
          <w:u w:val="single"/>
        </w:rPr>
      </w:pPr>
    </w:p>
    <w:p w14:paraId="60126804" w14:textId="6A2DA581" w:rsidR="004B73F2" w:rsidRPr="00CA4E4C" w:rsidRDefault="00194235" w:rsidP="00CF0959">
      <w:pPr>
        <w:keepNext/>
        <w:keepLines/>
        <w:jc w:val="both"/>
        <w:rPr>
          <w:rFonts w:cs="Arial"/>
          <w:szCs w:val="22"/>
        </w:rPr>
      </w:pPr>
      <w:r w:rsidRPr="00CA4E4C">
        <w:rPr>
          <w:rFonts w:cs="Arial"/>
          <w:szCs w:val="22"/>
        </w:rPr>
        <w:t>SDG&amp;E optimized</w:t>
      </w:r>
      <w:r w:rsidR="00163AB5" w:rsidRPr="00CA4E4C">
        <w:rPr>
          <w:rFonts w:cs="Arial"/>
          <w:szCs w:val="22"/>
        </w:rPr>
        <w:t xml:space="preserve"> </w:t>
      </w:r>
      <w:r w:rsidRPr="00CA4E4C">
        <w:rPr>
          <w:rFonts w:cs="Arial"/>
          <w:szCs w:val="22"/>
        </w:rPr>
        <w:t>its EE portfolio</w:t>
      </w:r>
      <w:r w:rsidR="00163AB5" w:rsidRPr="00CA4E4C">
        <w:rPr>
          <w:rFonts w:cs="Arial"/>
          <w:szCs w:val="22"/>
        </w:rPr>
        <w:t xml:space="preserve"> to the extent possible </w:t>
      </w:r>
      <w:r w:rsidR="009272D4" w:rsidRPr="00CA4E4C">
        <w:rPr>
          <w:rFonts w:cs="Arial"/>
          <w:szCs w:val="22"/>
        </w:rPr>
        <w:t>to meet the minimum cost effectiveness criteria and authorized budget level.</w:t>
      </w:r>
      <w:r w:rsidRPr="00CA4E4C">
        <w:rPr>
          <w:rFonts w:cs="Arial"/>
          <w:szCs w:val="22"/>
        </w:rPr>
        <w:t xml:space="preserve">  The </w:t>
      </w:r>
      <w:r w:rsidR="00080499" w:rsidRPr="00CA4E4C">
        <w:rPr>
          <w:rFonts w:cs="Arial"/>
          <w:szCs w:val="22"/>
        </w:rPr>
        <w:t xml:space="preserve">following are the general Portfolio </w:t>
      </w:r>
      <w:r w:rsidRPr="00CA4E4C">
        <w:rPr>
          <w:rFonts w:cs="Arial"/>
          <w:szCs w:val="22"/>
        </w:rPr>
        <w:t>changes</w:t>
      </w:r>
      <w:r w:rsidR="004B73F2" w:rsidRPr="00CA4E4C">
        <w:rPr>
          <w:rFonts w:cs="Arial"/>
          <w:szCs w:val="22"/>
        </w:rPr>
        <w:t>:</w:t>
      </w:r>
    </w:p>
    <w:p w14:paraId="3D2D5D63" w14:textId="77777777" w:rsidR="000152AC" w:rsidRPr="00CA4E4C" w:rsidRDefault="000152AC" w:rsidP="00CF0959">
      <w:pPr>
        <w:keepNext/>
        <w:keepLines/>
        <w:jc w:val="both"/>
        <w:rPr>
          <w:rFonts w:cs="Arial"/>
          <w:szCs w:val="22"/>
        </w:rPr>
      </w:pPr>
    </w:p>
    <w:p w14:paraId="10646314" w14:textId="76C943FD" w:rsidR="00293697" w:rsidRPr="00CA4E4C" w:rsidRDefault="004B783D" w:rsidP="00265B2B">
      <w:pPr>
        <w:numPr>
          <w:ilvl w:val="0"/>
          <w:numId w:val="3"/>
        </w:numPr>
        <w:jc w:val="both"/>
        <w:rPr>
          <w:rFonts w:cs="Arial"/>
          <w:szCs w:val="22"/>
        </w:rPr>
      </w:pPr>
      <w:r w:rsidRPr="00CA4E4C">
        <w:rPr>
          <w:rFonts w:cs="Arial"/>
          <w:szCs w:val="22"/>
        </w:rPr>
        <w:t xml:space="preserve">SDG&amp;E’s </w:t>
      </w:r>
      <w:r w:rsidR="002100B7" w:rsidRPr="00CA4E4C">
        <w:rPr>
          <w:rFonts w:cs="Arial"/>
          <w:szCs w:val="22"/>
        </w:rPr>
        <w:t>Budget request for 20</w:t>
      </w:r>
      <w:r w:rsidR="009C190E" w:rsidRPr="00CA4E4C">
        <w:rPr>
          <w:rFonts w:cs="Arial"/>
          <w:szCs w:val="22"/>
        </w:rPr>
        <w:t>20</w:t>
      </w:r>
      <w:r w:rsidR="002100B7" w:rsidRPr="00CA4E4C">
        <w:rPr>
          <w:rFonts w:cs="Arial"/>
          <w:szCs w:val="22"/>
        </w:rPr>
        <w:t xml:space="preserve"> is less th</w:t>
      </w:r>
      <w:r w:rsidR="00972285" w:rsidRPr="00CA4E4C">
        <w:rPr>
          <w:rFonts w:cs="Arial"/>
          <w:szCs w:val="22"/>
        </w:rPr>
        <w:t>an the authorized annual budget</w:t>
      </w:r>
      <w:r w:rsidR="00C34441" w:rsidRPr="00CA4E4C">
        <w:rPr>
          <w:rFonts w:cs="Arial"/>
          <w:szCs w:val="22"/>
        </w:rPr>
        <w:t xml:space="preserve"> and is less that the 2019 budget</w:t>
      </w:r>
      <w:r w:rsidR="00972285" w:rsidRPr="00CA4E4C">
        <w:rPr>
          <w:rFonts w:cs="Arial"/>
          <w:szCs w:val="22"/>
        </w:rPr>
        <w:t>.</w:t>
      </w:r>
      <w:r w:rsidRPr="00CA4E4C">
        <w:rPr>
          <w:rFonts w:cs="Arial"/>
          <w:szCs w:val="22"/>
        </w:rPr>
        <w:t xml:space="preserve">  This is primarily a result of program </w:t>
      </w:r>
      <w:r w:rsidR="006478B3" w:rsidRPr="00CA4E4C">
        <w:rPr>
          <w:rFonts w:cs="Arial"/>
          <w:szCs w:val="22"/>
        </w:rPr>
        <w:t>funding changes</w:t>
      </w:r>
      <w:r w:rsidR="00293697" w:rsidRPr="00CA4E4C">
        <w:rPr>
          <w:rFonts w:cs="Arial"/>
          <w:szCs w:val="22"/>
        </w:rPr>
        <w:t xml:space="preserve"> </w:t>
      </w:r>
      <w:r w:rsidR="002100B7" w:rsidRPr="00CA4E4C">
        <w:rPr>
          <w:rFonts w:cs="Arial"/>
          <w:szCs w:val="22"/>
        </w:rPr>
        <w:t xml:space="preserve">made </w:t>
      </w:r>
      <w:r w:rsidR="00293697" w:rsidRPr="00CA4E4C">
        <w:rPr>
          <w:rFonts w:cs="Arial"/>
          <w:szCs w:val="22"/>
        </w:rPr>
        <w:t>to optimize the portfolio</w:t>
      </w:r>
      <w:r w:rsidR="00972285" w:rsidRPr="00CA4E4C">
        <w:rPr>
          <w:rFonts w:cs="Arial"/>
          <w:szCs w:val="22"/>
        </w:rPr>
        <w:t>.</w:t>
      </w:r>
    </w:p>
    <w:p w14:paraId="7D5E7267" w14:textId="3251E6C2" w:rsidR="00C34441" w:rsidRPr="00CA4E4C" w:rsidRDefault="004B783D" w:rsidP="00265B2B">
      <w:pPr>
        <w:numPr>
          <w:ilvl w:val="0"/>
          <w:numId w:val="3"/>
        </w:numPr>
        <w:jc w:val="both"/>
        <w:rPr>
          <w:rFonts w:cs="Arial"/>
          <w:szCs w:val="22"/>
        </w:rPr>
      </w:pPr>
      <w:r w:rsidRPr="00CA4E4C">
        <w:rPr>
          <w:rFonts w:cs="Arial"/>
          <w:szCs w:val="22"/>
        </w:rPr>
        <w:t xml:space="preserve">SDG&amp;E </w:t>
      </w:r>
      <w:r w:rsidR="00C34441" w:rsidRPr="00CA4E4C">
        <w:rPr>
          <w:rFonts w:cs="Arial"/>
          <w:szCs w:val="22"/>
        </w:rPr>
        <w:t>will be</w:t>
      </w:r>
      <w:r w:rsidRPr="00CA4E4C">
        <w:rPr>
          <w:rFonts w:cs="Arial"/>
          <w:szCs w:val="22"/>
        </w:rPr>
        <w:t xml:space="preserve"> transitioning </w:t>
      </w:r>
      <w:r w:rsidR="00C34441" w:rsidRPr="00CA4E4C">
        <w:rPr>
          <w:rFonts w:cs="Arial"/>
          <w:szCs w:val="22"/>
        </w:rPr>
        <w:t>portions of its portfolio from SDG&amp;E implementation to Third Party implementation</w:t>
      </w:r>
      <w:r w:rsidR="00BA3D02" w:rsidRPr="00CA4E4C">
        <w:rPr>
          <w:rFonts w:cs="Arial"/>
          <w:szCs w:val="22"/>
        </w:rPr>
        <w:t xml:space="preserve">. </w:t>
      </w:r>
      <w:r w:rsidR="00C34441" w:rsidRPr="00CA4E4C">
        <w:rPr>
          <w:rFonts w:cs="Arial"/>
          <w:szCs w:val="22"/>
        </w:rPr>
        <w:t xml:space="preserve">This will be accomplished by consolidating some programs, reducing SDG&amp;E-implemented program budgets with the anticipation of new Third Party programs will be coming on-line later in 2020.  </w:t>
      </w:r>
    </w:p>
    <w:p w14:paraId="63A8B93B" w14:textId="77777777" w:rsidR="00C34441" w:rsidRPr="00CA4E4C" w:rsidRDefault="00C34441" w:rsidP="00265B2B">
      <w:pPr>
        <w:numPr>
          <w:ilvl w:val="0"/>
          <w:numId w:val="3"/>
        </w:numPr>
        <w:jc w:val="both"/>
        <w:rPr>
          <w:rFonts w:cs="Arial"/>
          <w:szCs w:val="22"/>
        </w:rPr>
      </w:pPr>
      <w:r w:rsidRPr="00CA4E4C">
        <w:rPr>
          <w:rFonts w:cs="Arial"/>
          <w:szCs w:val="22"/>
        </w:rPr>
        <w:t>Underperforming programs will be closed to improve cost-effectiveness.</w:t>
      </w:r>
    </w:p>
    <w:p w14:paraId="1DD58853" w14:textId="402CAA03" w:rsidR="00805501" w:rsidRPr="00CA4E4C" w:rsidRDefault="004B783D" w:rsidP="00265B2B">
      <w:pPr>
        <w:numPr>
          <w:ilvl w:val="0"/>
          <w:numId w:val="3"/>
        </w:numPr>
        <w:jc w:val="both"/>
        <w:rPr>
          <w:rFonts w:cs="Arial"/>
          <w:szCs w:val="22"/>
        </w:rPr>
      </w:pPr>
      <w:r w:rsidRPr="00CA4E4C">
        <w:rPr>
          <w:rFonts w:cs="Arial"/>
          <w:szCs w:val="22"/>
        </w:rPr>
        <w:t>SDG&amp;E u</w:t>
      </w:r>
      <w:r w:rsidR="00194235" w:rsidRPr="00CA4E4C">
        <w:rPr>
          <w:rFonts w:cs="Arial"/>
          <w:szCs w:val="22"/>
        </w:rPr>
        <w:t>pdat</w:t>
      </w:r>
      <w:r w:rsidR="00293697" w:rsidRPr="00CA4E4C">
        <w:rPr>
          <w:rFonts w:cs="Arial"/>
          <w:szCs w:val="22"/>
        </w:rPr>
        <w:t xml:space="preserve">ed </w:t>
      </w:r>
      <w:r w:rsidR="002100B7" w:rsidRPr="00CA4E4C">
        <w:rPr>
          <w:rFonts w:cs="Arial"/>
          <w:szCs w:val="22"/>
        </w:rPr>
        <w:t xml:space="preserve">the </w:t>
      </w:r>
      <w:r w:rsidR="00194235" w:rsidRPr="00CA4E4C">
        <w:rPr>
          <w:rFonts w:cs="Arial"/>
          <w:szCs w:val="22"/>
        </w:rPr>
        <w:t>measure saving</w:t>
      </w:r>
      <w:r w:rsidR="00805501" w:rsidRPr="00CA4E4C">
        <w:rPr>
          <w:rFonts w:cs="Arial"/>
          <w:szCs w:val="22"/>
        </w:rPr>
        <w:t>s assumptions based on DEER</w:t>
      </w:r>
      <w:r w:rsidR="00CF0959" w:rsidRPr="00CA4E4C">
        <w:rPr>
          <w:rFonts w:cs="Arial"/>
          <w:szCs w:val="22"/>
        </w:rPr>
        <w:t xml:space="preserve"> </w:t>
      </w:r>
      <w:r w:rsidR="00805501" w:rsidRPr="00CA4E4C">
        <w:rPr>
          <w:rFonts w:cs="Arial"/>
          <w:szCs w:val="22"/>
        </w:rPr>
        <w:t>20</w:t>
      </w:r>
      <w:r w:rsidR="00C34441" w:rsidRPr="00CA4E4C">
        <w:rPr>
          <w:rFonts w:cs="Arial"/>
          <w:szCs w:val="22"/>
        </w:rPr>
        <w:t>20</w:t>
      </w:r>
      <w:r w:rsidR="00EA630B" w:rsidRPr="00CA4E4C">
        <w:rPr>
          <w:rFonts w:cs="Arial"/>
          <w:szCs w:val="22"/>
        </w:rPr>
        <w:t xml:space="preserve">, </w:t>
      </w:r>
      <w:r w:rsidR="00C402A6" w:rsidRPr="00CA4E4C">
        <w:rPr>
          <w:rFonts w:cs="Arial"/>
          <w:szCs w:val="22"/>
        </w:rPr>
        <w:t>and all applicable deemed measure work</w:t>
      </w:r>
      <w:r w:rsidR="00027F4F" w:rsidRPr="00CA4E4C">
        <w:rPr>
          <w:rFonts w:cs="Arial"/>
          <w:szCs w:val="22"/>
        </w:rPr>
        <w:t xml:space="preserve"> </w:t>
      </w:r>
      <w:r w:rsidR="00C402A6" w:rsidRPr="00CA4E4C">
        <w:rPr>
          <w:rFonts w:cs="Arial"/>
          <w:szCs w:val="22"/>
        </w:rPr>
        <w:t>paper dispositions</w:t>
      </w:r>
      <w:r w:rsidR="00972285" w:rsidRPr="00CA4E4C">
        <w:rPr>
          <w:rFonts w:cs="Arial"/>
          <w:szCs w:val="22"/>
        </w:rPr>
        <w:t>.</w:t>
      </w:r>
    </w:p>
    <w:p w14:paraId="23DBACE6" w14:textId="456EB405" w:rsidR="00ED0D50" w:rsidRPr="00CA4E4C" w:rsidRDefault="004B783D" w:rsidP="00265B2B">
      <w:pPr>
        <w:numPr>
          <w:ilvl w:val="0"/>
          <w:numId w:val="3"/>
        </w:numPr>
        <w:jc w:val="both"/>
        <w:rPr>
          <w:rFonts w:cs="Arial"/>
          <w:szCs w:val="22"/>
        </w:rPr>
      </w:pPr>
      <w:r w:rsidRPr="00CA4E4C">
        <w:rPr>
          <w:rFonts w:cs="Arial"/>
          <w:szCs w:val="22"/>
        </w:rPr>
        <w:t>SDG&amp;E r</w:t>
      </w:r>
      <w:r w:rsidR="00ED0D50" w:rsidRPr="00CA4E4C">
        <w:rPr>
          <w:rFonts w:cs="Arial"/>
          <w:szCs w:val="22"/>
        </w:rPr>
        <w:t>emov</w:t>
      </w:r>
      <w:r w:rsidR="002100B7" w:rsidRPr="00CA4E4C">
        <w:rPr>
          <w:rFonts w:cs="Arial"/>
          <w:szCs w:val="22"/>
        </w:rPr>
        <w:t>ed</w:t>
      </w:r>
      <w:r w:rsidR="00ED0D50" w:rsidRPr="00CA4E4C">
        <w:rPr>
          <w:rFonts w:cs="Arial"/>
          <w:szCs w:val="22"/>
        </w:rPr>
        <w:t xml:space="preserve"> measures due to low cost effectiveness</w:t>
      </w:r>
      <w:r w:rsidR="001C27DE" w:rsidRPr="00CA4E4C">
        <w:rPr>
          <w:rFonts w:cs="Arial"/>
          <w:szCs w:val="22"/>
        </w:rPr>
        <w:t>,</w:t>
      </w:r>
      <w:r w:rsidR="00ED0D50" w:rsidRPr="00CA4E4C">
        <w:rPr>
          <w:rFonts w:cs="Arial"/>
          <w:szCs w:val="22"/>
        </w:rPr>
        <w:t xml:space="preserve"> changes in Codes &amp; Standards,</w:t>
      </w:r>
      <w:r w:rsidR="001C27DE" w:rsidRPr="00CA4E4C">
        <w:rPr>
          <w:rFonts w:cs="Arial"/>
          <w:szCs w:val="22"/>
        </w:rPr>
        <w:t xml:space="preserve"> Lighting Dispositions</w:t>
      </w:r>
      <w:r w:rsidR="006B4449" w:rsidRPr="00CA4E4C">
        <w:rPr>
          <w:rFonts w:cs="Arial"/>
          <w:szCs w:val="22"/>
        </w:rPr>
        <w:t>,</w:t>
      </w:r>
      <w:r w:rsidR="00ED0D50" w:rsidRPr="00CA4E4C">
        <w:rPr>
          <w:rFonts w:cs="Arial"/>
          <w:szCs w:val="22"/>
        </w:rPr>
        <w:t xml:space="preserve"> or lack of </w:t>
      </w:r>
      <w:r w:rsidR="002100B7" w:rsidRPr="00CA4E4C">
        <w:rPr>
          <w:rFonts w:cs="Arial"/>
          <w:szCs w:val="22"/>
        </w:rPr>
        <w:t xml:space="preserve">customer </w:t>
      </w:r>
      <w:r w:rsidR="00ED0D50" w:rsidRPr="00CA4E4C">
        <w:rPr>
          <w:rFonts w:cs="Arial"/>
          <w:szCs w:val="22"/>
        </w:rPr>
        <w:t>demand</w:t>
      </w:r>
      <w:r w:rsidR="0008063D" w:rsidRPr="00CA4E4C">
        <w:rPr>
          <w:rFonts w:cs="Arial"/>
          <w:szCs w:val="22"/>
        </w:rPr>
        <w:t xml:space="preserve">.  </w:t>
      </w:r>
    </w:p>
    <w:p w14:paraId="3D84B7BD" w14:textId="77777777" w:rsidR="00CF4F2E" w:rsidRPr="00CA4E4C" w:rsidRDefault="004B783D" w:rsidP="00265B2B">
      <w:pPr>
        <w:numPr>
          <w:ilvl w:val="0"/>
          <w:numId w:val="3"/>
        </w:numPr>
        <w:jc w:val="both"/>
        <w:rPr>
          <w:rFonts w:cs="Arial"/>
          <w:szCs w:val="22"/>
        </w:rPr>
      </w:pPr>
      <w:r w:rsidRPr="00CA4E4C">
        <w:rPr>
          <w:rFonts w:cs="Arial"/>
          <w:szCs w:val="22"/>
        </w:rPr>
        <w:t>SDG&amp;E u</w:t>
      </w:r>
      <w:r w:rsidR="00805501" w:rsidRPr="00CA4E4C">
        <w:rPr>
          <w:rFonts w:cs="Arial"/>
          <w:szCs w:val="22"/>
        </w:rPr>
        <w:t>pdated</w:t>
      </w:r>
      <w:r w:rsidR="00194235" w:rsidRPr="00CA4E4C">
        <w:rPr>
          <w:rFonts w:cs="Arial"/>
          <w:szCs w:val="22"/>
        </w:rPr>
        <w:t xml:space="preserve"> incentive levels</w:t>
      </w:r>
      <w:r w:rsidR="00805501" w:rsidRPr="00CA4E4C">
        <w:rPr>
          <w:rFonts w:cs="Arial"/>
          <w:szCs w:val="22"/>
        </w:rPr>
        <w:t xml:space="preserve"> to address changes, </w:t>
      </w:r>
      <w:r w:rsidR="00CF4F2E" w:rsidRPr="00CA4E4C">
        <w:rPr>
          <w:rFonts w:cs="Arial"/>
          <w:szCs w:val="22"/>
        </w:rPr>
        <w:t xml:space="preserve">e.g., </w:t>
      </w:r>
      <w:r w:rsidR="002100B7" w:rsidRPr="00CA4E4C">
        <w:rPr>
          <w:rFonts w:cs="Arial"/>
          <w:szCs w:val="22"/>
        </w:rPr>
        <w:t xml:space="preserve">changes in </w:t>
      </w:r>
      <w:r w:rsidR="00805501" w:rsidRPr="00CA4E4C">
        <w:rPr>
          <w:rFonts w:cs="Arial"/>
          <w:szCs w:val="22"/>
        </w:rPr>
        <w:t>measure savings</w:t>
      </w:r>
      <w:r w:rsidR="00194235" w:rsidRPr="00CA4E4C">
        <w:rPr>
          <w:rFonts w:cs="Arial"/>
          <w:szCs w:val="22"/>
        </w:rPr>
        <w:t>,</w:t>
      </w:r>
      <w:r w:rsidR="009272D4" w:rsidRPr="00CA4E4C">
        <w:rPr>
          <w:rFonts w:cs="Arial"/>
          <w:szCs w:val="22"/>
        </w:rPr>
        <w:t xml:space="preserve"> measure costs, etc.  </w:t>
      </w:r>
      <w:r w:rsidR="00CF4F2E" w:rsidRPr="00CA4E4C">
        <w:rPr>
          <w:rFonts w:cs="Arial"/>
          <w:szCs w:val="22"/>
        </w:rPr>
        <w:t xml:space="preserve">SDG&amp;E will incorporate Commission </w:t>
      </w:r>
      <w:r w:rsidR="00AC0E99" w:rsidRPr="00CA4E4C">
        <w:rPr>
          <w:rFonts w:cs="Arial"/>
          <w:szCs w:val="22"/>
        </w:rPr>
        <w:t>guidance</w:t>
      </w:r>
      <w:r w:rsidR="00CF4F2E" w:rsidRPr="00CA4E4C">
        <w:rPr>
          <w:rFonts w:cs="Arial"/>
          <w:szCs w:val="22"/>
        </w:rPr>
        <w:t xml:space="preserve"> regarding determination of incentive levels and Pay for Performance options into the solicitation process.</w:t>
      </w:r>
      <w:r w:rsidR="00AC0E99" w:rsidRPr="00CA4E4C">
        <w:rPr>
          <w:rStyle w:val="FootnoteReference"/>
          <w:rFonts w:cs="Arial"/>
          <w:szCs w:val="22"/>
        </w:rPr>
        <w:footnoteReference w:id="12"/>
      </w:r>
    </w:p>
    <w:p w14:paraId="2789B2BE" w14:textId="77777777" w:rsidR="004B783D" w:rsidRPr="00CA4E4C" w:rsidRDefault="009272D4" w:rsidP="00265B2B">
      <w:pPr>
        <w:numPr>
          <w:ilvl w:val="0"/>
          <w:numId w:val="3"/>
        </w:numPr>
        <w:jc w:val="both"/>
        <w:rPr>
          <w:rFonts w:cs="Arial"/>
          <w:szCs w:val="22"/>
        </w:rPr>
      </w:pPr>
      <w:r w:rsidRPr="00CA4E4C">
        <w:rPr>
          <w:rFonts w:cs="Arial"/>
          <w:szCs w:val="22"/>
        </w:rPr>
        <w:t>SDG&amp;E will focus on improving reporting measure cost</w:t>
      </w:r>
      <w:r w:rsidR="00972285" w:rsidRPr="00CA4E4C">
        <w:rPr>
          <w:rFonts w:cs="Arial"/>
          <w:szCs w:val="22"/>
        </w:rPr>
        <w:t>s</w:t>
      </w:r>
      <w:r w:rsidRPr="00CA4E4C">
        <w:rPr>
          <w:rFonts w:cs="Arial"/>
          <w:szCs w:val="22"/>
        </w:rPr>
        <w:t xml:space="preserve"> to improve the accuracy of</w:t>
      </w:r>
      <w:r w:rsidR="00972285" w:rsidRPr="00CA4E4C">
        <w:rPr>
          <w:rFonts w:cs="Arial"/>
          <w:szCs w:val="22"/>
        </w:rPr>
        <w:t xml:space="preserve"> </w:t>
      </w:r>
      <w:r w:rsidRPr="00CA4E4C">
        <w:rPr>
          <w:rFonts w:cs="Arial"/>
          <w:szCs w:val="22"/>
        </w:rPr>
        <w:t xml:space="preserve">the TRC.  </w:t>
      </w:r>
    </w:p>
    <w:p w14:paraId="689AD7C5" w14:textId="77777777" w:rsidR="00805501" w:rsidRPr="00CA4E4C" w:rsidRDefault="009272D4" w:rsidP="00265B2B">
      <w:pPr>
        <w:numPr>
          <w:ilvl w:val="0"/>
          <w:numId w:val="3"/>
        </w:numPr>
        <w:jc w:val="both"/>
        <w:rPr>
          <w:rFonts w:cs="Arial"/>
          <w:szCs w:val="22"/>
        </w:rPr>
      </w:pPr>
      <w:r w:rsidRPr="00CA4E4C">
        <w:rPr>
          <w:rFonts w:cs="Arial"/>
          <w:szCs w:val="22"/>
        </w:rPr>
        <w:t xml:space="preserve">SDG&amp;E will continue to investigate transitioning “custom/calculated” measures to “deemed” measures.  </w:t>
      </w:r>
    </w:p>
    <w:p w14:paraId="17549BFA" w14:textId="5FD57FE4" w:rsidR="0052524F" w:rsidRPr="00CA4E4C" w:rsidRDefault="006E11E3" w:rsidP="00265B2B">
      <w:pPr>
        <w:numPr>
          <w:ilvl w:val="0"/>
          <w:numId w:val="3"/>
        </w:numPr>
        <w:jc w:val="both"/>
        <w:rPr>
          <w:rFonts w:cs="Arial"/>
          <w:szCs w:val="22"/>
        </w:rPr>
      </w:pPr>
      <w:r w:rsidRPr="00CA4E4C">
        <w:rPr>
          <w:rFonts w:cs="Arial"/>
          <w:szCs w:val="22"/>
        </w:rPr>
        <w:t xml:space="preserve">SDG&amp;E will </w:t>
      </w:r>
      <w:r w:rsidR="00322AE0" w:rsidRPr="00CA4E4C">
        <w:rPr>
          <w:rFonts w:cs="Arial"/>
          <w:szCs w:val="22"/>
        </w:rPr>
        <w:t>i</w:t>
      </w:r>
      <w:r w:rsidR="0052524F" w:rsidRPr="00CA4E4C">
        <w:rPr>
          <w:rFonts w:cs="Arial"/>
          <w:szCs w:val="22"/>
        </w:rPr>
        <w:t xml:space="preserve">ncrease focus on </w:t>
      </w:r>
      <w:r w:rsidR="00322AE0" w:rsidRPr="00CA4E4C">
        <w:rPr>
          <w:rFonts w:cs="Arial"/>
          <w:szCs w:val="22"/>
        </w:rPr>
        <w:t xml:space="preserve">the </w:t>
      </w:r>
      <w:r w:rsidR="0052524F" w:rsidRPr="00CA4E4C">
        <w:rPr>
          <w:rFonts w:cs="Arial"/>
          <w:szCs w:val="22"/>
        </w:rPr>
        <w:t>application of the Normalized Metered Energy Consumption (NMEC) verification methodol</w:t>
      </w:r>
      <w:r w:rsidR="00CF0959" w:rsidRPr="00CA4E4C">
        <w:rPr>
          <w:rFonts w:cs="Arial"/>
          <w:szCs w:val="22"/>
        </w:rPr>
        <w:t xml:space="preserve">ogy </w:t>
      </w:r>
      <w:r w:rsidR="00972285" w:rsidRPr="00CA4E4C">
        <w:rPr>
          <w:rFonts w:cs="Arial"/>
          <w:szCs w:val="22"/>
        </w:rPr>
        <w:t>to improve reported savings.</w:t>
      </w:r>
    </w:p>
    <w:p w14:paraId="23F07F84" w14:textId="1FA6F1EB" w:rsidR="00F26665" w:rsidRPr="00CA4E4C" w:rsidRDefault="00F26665" w:rsidP="00265B2B">
      <w:pPr>
        <w:numPr>
          <w:ilvl w:val="0"/>
          <w:numId w:val="3"/>
        </w:numPr>
        <w:jc w:val="both"/>
        <w:rPr>
          <w:rFonts w:cs="Arial"/>
          <w:szCs w:val="22"/>
        </w:rPr>
      </w:pPr>
      <w:r w:rsidRPr="00CA4E4C">
        <w:rPr>
          <w:rFonts w:cs="Arial"/>
          <w:szCs w:val="22"/>
        </w:rPr>
        <w:t xml:space="preserve">SDG&amp;E will continue its solicitations that </w:t>
      </w:r>
      <w:r w:rsidR="00C34441" w:rsidRPr="00CA4E4C">
        <w:rPr>
          <w:rFonts w:cs="Arial"/>
          <w:szCs w:val="22"/>
        </w:rPr>
        <w:t>began</w:t>
      </w:r>
      <w:r w:rsidRPr="00CA4E4C">
        <w:rPr>
          <w:rFonts w:cs="Arial"/>
          <w:szCs w:val="22"/>
        </w:rPr>
        <w:t xml:space="preserve"> in the last quarter of 2018</w:t>
      </w:r>
      <w:r w:rsidR="00601EC2" w:rsidRPr="00CA4E4C">
        <w:rPr>
          <w:rStyle w:val="FootnoteReference"/>
          <w:rFonts w:cs="Arial"/>
        </w:rPr>
        <w:footnoteReference w:id="13"/>
      </w:r>
      <w:r w:rsidR="00601EC2" w:rsidRPr="00CA4E4C">
        <w:rPr>
          <w:rFonts w:cs="Arial"/>
        </w:rPr>
        <w:t xml:space="preserve"> </w:t>
      </w:r>
      <w:r w:rsidRPr="00CA4E4C">
        <w:rPr>
          <w:rFonts w:cs="Arial"/>
          <w:szCs w:val="22"/>
        </w:rPr>
        <w:t xml:space="preserve">to meet the Commission’s requirement that </w:t>
      </w:r>
      <w:r w:rsidR="00C34441" w:rsidRPr="00CA4E4C">
        <w:rPr>
          <w:rFonts w:cs="Arial"/>
          <w:szCs w:val="22"/>
        </w:rPr>
        <w:t>40</w:t>
      </w:r>
      <w:r w:rsidRPr="00CA4E4C">
        <w:rPr>
          <w:rFonts w:cs="Arial"/>
          <w:szCs w:val="22"/>
        </w:rPr>
        <w:t xml:space="preserve"> percent of each IOU PA’s </w:t>
      </w:r>
      <w:r w:rsidR="00600ED6" w:rsidRPr="00CA4E4C">
        <w:rPr>
          <w:rFonts w:cs="Arial"/>
          <w:szCs w:val="22"/>
        </w:rPr>
        <w:t>portfolio</w:t>
      </w:r>
      <w:r w:rsidRPr="00CA4E4C">
        <w:rPr>
          <w:rFonts w:cs="Arial"/>
          <w:szCs w:val="22"/>
        </w:rPr>
        <w:t xml:space="preserve"> must be under contract to a third</w:t>
      </w:r>
      <w:r w:rsidR="00720B46" w:rsidRPr="00CA4E4C">
        <w:rPr>
          <w:rFonts w:cs="Arial"/>
          <w:szCs w:val="22"/>
        </w:rPr>
        <w:t>-</w:t>
      </w:r>
      <w:r w:rsidRPr="00CA4E4C">
        <w:rPr>
          <w:rFonts w:cs="Arial"/>
          <w:szCs w:val="22"/>
        </w:rPr>
        <w:t>party by the definition in D.16-08-019 by December 31, 20</w:t>
      </w:r>
      <w:r w:rsidR="00600ED6" w:rsidRPr="00CA4E4C">
        <w:rPr>
          <w:rFonts w:cs="Arial"/>
          <w:szCs w:val="22"/>
        </w:rPr>
        <w:t>20</w:t>
      </w:r>
      <w:r w:rsidRPr="00CA4E4C">
        <w:rPr>
          <w:rFonts w:cs="Arial"/>
          <w:szCs w:val="22"/>
        </w:rPr>
        <w:t>.</w:t>
      </w:r>
      <w:r w:rsidRPr="00CA4E4C">
        <w:rPr>
          <w:rStyle w:val="FootnoteReference"/>
          <w:rFonts w:cs="Arial"/>
          <w:szCs w:val="22"/>
        </w:rPr>
        <w:footnoteReference w:id="14"/>
      </w:r>
    </w:p>
    <w:p w14:paraId="5C58BF8C" w14:textId="1BC0B103" w:rsidR="00080499" w:rsidRPr="00CA4E4C" w:rsidRDefault="006E11E3" w:rsidP="00265B2B">
      <w:pPr>
        <w:numPr>
          <w:ilvl w:val="0"/>
          <w:numId w:val="3"/>
        </w:numPr>
        <w:jc w:val="both"/>
        <w:rPr>
          <w:rFonts w:cs="Arial"/>
          <w:szCs w:val="22"/>
        </w:rPr>
      </w:pPr>
      <w:r w:rsidRPr="00CA4E4C">
        <w:rPr>
          <w:rFonts w:cs="Arial"/>
          <w:szCs w:val="22"/>
        </w:rPr>
        <w:t xml:space="preserve">SDG&amp;E </w:t>
      </w:r>
      <w:r w:rsidR="00322AE0" w:rsidRPr="00CA4E4C">
        <w:rPr>
          <w:rFonts w:cs="Arial"/>
          <w:szCs w:val="22"/>
        </w:rPr>
        <w:t>classifies</w:t>
      </w:r>
      <w:r w:rsidR="00AD3D83" w:rsidRPr="00CA4E4C">
        <w:rPr>
          <w:rFonts w:cs="Arial"/>
          <w:szCs w:val="22"/>
        </w:rPr>
        <w:t xml:space="preserve"> Independent Evaluator costs </w:t>
      </w:r>
      <w:r w:rsidR="00322AE0" w:rsidRPr="00CA4E4C">
        <w:rPr>
          <w:rFonts w:cs="Arial"/>
          <w:szCs w:val="22"/>
        </w:rPr>
        <w:t xml:space="preserve">as part of the </w:t>
      </w:r>
      <w:r w:rsidR="00AD3D83" w:rsidRPr="00CA4E4C">
        <w:rPr>
          <w:rFonts w:cs="Arial"/>
          <w:szCs w:val="22"/>
        </w:rPr>
        <w:t>implementation costs</w:t>
      </w:r>
      <w:r w:rsidR="00322AE0" w:rsidRPr="00CA4E4C">
        <w:rPr>
          <w:rFonts w:cs="Arial"/>
          <w:szCs w:val="22"/>
        </w:rPr>
        <w:t xml:space="preserve">. </w:t>
      </w:r>
      <w:r w:rsidR="00AD3D83" w:rsidRPr="00CA4E4C">
        <w:rPr>
          <w:rFonts w:cs="Arial"/>
          <w:szCs w:val="22"/>
        </w:rPr>
        <w:t xml:space="preserve"> </w:t>
      </w:r>
      <w:r w:rsidR="00322AE0" w:rsidRPr="00CA4E4C">
        <w:rPr>
          <w:rFonts w:cs="Arial"/>
          <w:szCs w:val="22"/>
        </w:rPr>
        <w:t>T</w:t>
      </w:r>
      <w:r w:rsidR="00495B84" w:rsidRPr="00CA4E4C">
        <w:rPr>
          <w:rFonts w:cs="Arial"/>
          <w:szCs w:val="22"/>
        </w:rPr>
        <w:t>hese costs are part of the program design wherein third</w:t>
      </w:r>
      <w:r w:rsidR="00720B46" w:rsidRPr="00CA4E4C">
        <w:rPr>
          <w:rFonts w:cs="Arial"/>
          <w:szCs w:val="22"/>
        </w:rPr>
        <w:t>-</w:t>
      </w:r>
      <w:r w:rsidR="00495B84" w:rsidRPr="00CA4E4C">
        <w:rPr>
          <w:rFonts w:cs="Arial"/>
          <w:szCs w:val="22"/>
        </w:rPr>
        <w:t>party proposals for new program design are evaluated.  Under the Commission’s definition program design cost</w:t>
      </w:r>
      <w:r w:rsidR="00080499" w:rsidRPr="00CA4E4C">
        <w:rPr>
          <w:rFonts w:cs="Arial"/>
          <w:szCs w:val="22"/>
        </w:rPr>
        <w:t xml:space="preserve">s </w:t>
      </w:r>
      <w:r w:rsidR="00495B84" w:rsidRPr="00CA4E4C">
        <w:rPr>
          <w:rFonts w:cs="Arial"/>
          <w:szCs w:val="22"/>
        </w:rPr>
        <w:t xml:space="preserve">are </w:t>
      </w:r>
      <w:r w:rsidR="00495B84" w:rsidRPr="00CA4E4C">
        <w:rPr>
          <w:rFonts w:cs="Arial"/>
          <w:szCs w:val="22"/>
        </w:rPr>
        <w:lastRenderedPageBreak/>
        <w:t>considered implementation costs.</w:t>
      </w:r>
      <w:r w:rsidR="00080499" w:rsidRPr="00CA4E4C">
        <w:rPr>
          <w:rFonts w:cs="Arial"/>
          <w:szCs w:val="22"/>
        </w:rPr>
        <w:t xml:space="preserve">  The EE Policy Manual categorizes the following under implementation costs:</w:t>
      </w:r>
    </w:p>
    <w:p w14:paraId="53B93A78" w14:textId="77777777" w:rsidR="00080499" w:rsidRPr="00CA4E4C" w:rsidRDefault="00080499" w:rsidP="00080499">
      <w:pPr>
        <w:ind w:left="360"/>
        <w:jc w:val="both"/>
        <w:rPr>
          <w:rStyle w:val="FootnoteReference"/>
          <w:rFonts w:cs="Arial"/>
          <w:szCs w:val="22"/>
          <w:vertAlign w:val="baseline"/>
        </w:rPr>
      </w:pPr>
    </w:p>
    <w:p w14:paraId="4E1ABD5F" w14:textId="77777777" w:rsidR="00080499" w:rsidRPr="00CA4E4C" w:rsidRDefault="00080499" w:rsidP="00322AE0">
      <w:pPr>
        <w:pStyle w:val="ListParagraph"/>
        <w:numPr>
          <w:ilvl w:val="0"/>
          <w:numId w:val="8"/>
        </w:numPr>
        <w:autoSpaceDE w:val="0"/>
        <w:autoSpaceDN w:val="0"/>
        <w:adjustRightInd w:val="0"/>
        <w:spacing w:after="0" w:line="240" w:lineRule="auto"/>
        <w:ind w:left="1368"/>
        <w:jc w:val="both"/>
        <w:rPr>
          <w:rFonts w:cs="Arial"/>
          <w:color w:val="000000"/>
        </w:rPr>
      </w:pPr>
      <w:r w:rsidRPr="00CA4E4C">
        <w:rPr>
          <w:rFonts w:cs="Arial"/>
          <w:color w:val="000000"/>
        </w:rPr>
        <w:t xml:space="preserve">Project management activities (i.e. Planning Scope of Work, working with contractors and customers, setting goals, reviewing goals, reacting to market conditions, and responding to customer inquiries (i.e. calls, emails, letters). </w:t>
      </w:r>
    </w:p>
    <w:p w14:paraId="72DFC199" w14:textId="77777777" w:rsidR="009272D4" w:rsidRPr="00CA4E4C" w:rsidRDefault="00080499" w:rsidP="00322AE0">
      <w:pPr>
        <w:pStyle w:val="ListParagraph"/>
        <w:numPr>
          <w:ilvl w:val="0"/>
          <w:numId w:val="8"/>
        </w:numPr>
        <w:autoSpaceDE w:val="0"/>
        <w:autoSpaceDN w:val="0"/>
        <w:adjustRightInd w:val="0"/>
        <w:spacing w:after="0" w:line="240" w:lineRule="auto"/>
        <w:ind w:left="1368"/>
        <w:jc w:val="both"/>
        <w:rPr>
          <w:rFonts w:cs="Arial"/>
          <w:color w:val="000000"/>
        </w:rPr>
      </w:pPr>
      <w:r w:rsidRPr="00CA4E4C">
        <w:rPr>
          <w:rFonts w:cs="Arial"/>
          <w:color w:val="000000"/>
        </w:rPr>
        <w:t>Program planning, development and design</w:t>
      </w:r>
      <w:r w:rsidR="00720B46" w:rsidRPr="00CA4E4C">
        <w:rPr>
          <w:rFonts w:cs="Arial"/>
          <w:color w:val="000000"/>
        </w:rPr>
        <w:t>.</w:t>
      </w:r>
      <w:r w:rsidR="00495B84" w:rsidRPr="00CA4E4C">
        <w:rPr>
          <w:rStyle w:val="FootnoteReference"/>
          <w:rFonts w:cs="Arial"/>
        </w:rPr>
        <w:footnoteReference w:id="15"/>
      </w:r>
    </w:p>
    <w:p w14:paraId="78A34B83" w14:textId="3A02571A" w:rsidR="0028462C" w:rsidRPr="00CA4E4C" w:rsidRDefault="0028462C">
      <w:pPr>
        <w:rPr>
          <w:rFonts w:cs="Arial"/>
        </w:rPr>
      </w:pPr>
    </w:p>
    <w:p w14:paraId="2A2DA542" w14:textId="333CA167" w:rsidR="00080499" w:rsidRPr="00CA4E4C" w:rsidRDefault="00080499" w:rsidP="00080499">
      <w:pPr>
        <w:rPr>
          <w:rFonts w:cs="Arial"/>
        </w:rPr>
      </w:pPr>
      <w:r w:rsidRPr="00CA4E4C">
        <w:rPr>
          <w:rFonts w:cs="Arial"/>
        </w:rPr>
        <w:t xml:space="preserve">The following discussion provides the </w:t>
      </w:r>
      <w:r w:rsidR="006C1793" w:rsidRPr="00CA4E4C">
        <w:rPr>
          <w:rFonts w:cs="Arial"/>
        </w:rPr>
        <w:t xml:space="preserve">major </w:t>
      </w:r>
      <w:r w:rsidRPr="00CA4E4C">
        <w:rPr>
          <w:rFonts w:cs="Arial"/>
        </w:rPr>
        <w:t>program changes under each of the program sectors.</w:t>
      </w:r>
      <w:r w:rsidR="006C1793" w:rsidRPr="00CA4E4C">
        <w:rPr>
          <w:rFonts w:cs="Arial"/>
        </w:rPr>
        <w:t xml:space="preserve">  </w:t>
      </w:r>
    </w:p>
    <w:p w14:paraId="6EF98E19" w14:textId="77777777" w:rsidR="00BF4E79" w:rsidRPr="00CA4E4C" w:rsidRDefault="00BF4E79" w:rsidP="00BF4E79">
      <w:pPr>
        <w:rPr>
          <w:rFonts w:cs="Arial"/>
        </w:rPr>
      </w:pPr>
    </w:p>
    <w:p w14:paraId="3429AE71" w14:textId="77777777" w:rsidR="00080499" w:rsidRPr="00CA4E4C" w:rsidRDefault="00080499" w:rsidP="00080499">
      <w:pPr>
        <w:rPr>
          <w:rFonts w:cs="Arial"/>
        </w:rPr>
      </w:pPr>
    </w:p>
    <w:p w14:paraId="3E15FA3F" w14:textId="77777777" w:rsidR="00C93AA2" w:rsidRPr="00CA4E4C" w:rsidRDefault="00F453E5" w:rsidP="00CF0959">
      <w:pPr>
        <w:pStyle w:val="Heading2"/>
        <w:rPr>
          <w:rFonts w:cs="Arial"/>
        </w:rPr>
      </w:pPr>
      <w:r w:rsidRPr="00CA4E4C">
        <w:rPr>
          <w:rFonts w:cs="Arial"/>
          <w:u w:val="none"/>
        </w:rPr>
        <w:t>A.</w:t>
      </w:r>
      <w:r w:rsidRPr="00CA4E4C">
        <w:rPr>
          <w:rFonts w:cs="Arial"/>
          <w:u w:val="none"/>
        </w:rPr>
        <w:tab/>
      </w:r>
      <w:r w:rsidRPr="00CA4E4C">
        <w:rPr>
          <w:rFonts w:cs="Arial"/>
        </w:rPr>
        <w:t>Residential Sector</w:t>
      </w:r>
    </w:p>
    <w:p w14:paraId="6C2E0A84" w14:textId="77777777" w:rsidR="00F453E5" w:rsidRPr="00CA4E4C" w:rsidRDefault="00F453E5" w:rsidP="00F453E5">
      <w:pPr>
        <w:rPr>
          <w:rFonts w:cs="Arial"/>
        </w:rPr>
      </w:pPr>
    </w:p>
    <w:p w14:paraId="3D565CAB" w14:textId="77777777" w:rsidR="00F453E5" w:rsidRPr="00CA4E4C" w:rsidRDefault="00F453E5" w:rsidP="00F453E5">
      <w:pPr>
        <w:pStyle w:val="Heading3"/>
        <w:rPr>
          <w:rFonts w:cs="Arial"/>
        </w:rPr>
      </w:pPr>
      <w:r w:rsidRPr="00CA4E4C">
        <w:rPr>
          <w:rFonts w:cs="Arial"/>
        </w:rPr>
        <w:t>1.</w:t>
      </w:r>
      <w:r w:rsidRPr="00CA4E4C">
        <w:rPr>
          <w:rFonts w:cs="Arial"/>
        </w:rPr>
        <w:tab/>
        <w:t>Single Family Subsector</w:t>
      </w:r>
    </w:p>
    <w:p w14:paraId="352DE98F" w14:textId="77777777" w:rsidR="00F453E5" w:rsidRPr="00CA4E4C" w:rsidRDefault="00F453E5" w:rsidP="00F453E5">
      <w:pPr>
        <w:rPr>
          <w:rFonts w:cs="Arial"/>
        </w:rPr>
      </w:pPr>
    </w:p>
    <w:p w14:paraId="241B0D55" w14:textId="2D3184DE" w:rsidR="004D621D" w:rsidRPr="00CA4E4C" w:rsidRDefault="002100B7" w:rsidP="007C48CB">
      <w:pPr>
        <w:pStyle w:val="Heading4"/>
        <w:rPr>
          <w:rFonts w:cs="Arial"/>
        </w:rPr>
      </w:pPr>
      <w:r w:rsidRPr="00CA4E4C">
        <w:rPr>
          <w:rFonts w:cs="Arial"/>
        </w:rPr>
        <w:t>a.</w:t>
      </w:r>
      <w:r w:rsidRPr="00CA4E4C">
        <w:rPr>
          <w:rFonts w:cs="Arial"/>
        </w:rPr>
        <w:tab/>
      </w:r>
      <w:r w:rsidR="004D621D" w:rsidRPr="00CA4E4C">
        <w:rPr>
          <w:rFonts w:cs="Arial"/>
        </w:rPr>
        <w:t>HVAC- Res</w:t>
      </w:r>
      <w:r w:rsidR="00F3553E" w:rsidRPr="00CA4E4C">
        <w:rPr>
          <w:rFonts w:cs="Arial"/>
        </w:rPr>
        <w:t xml:space="preserve">idential </w:t>
      </w:r>
      <w:r w:rsidR="004D621D" w:rsidRPr="00CA4E4C">
        <w:rPr>
          <w:rFonts w:cs="Arial"/>
        </w:rPr>
        <w:t>Program</w:t>
      </w:r>
      <w:r w:rsidR="00F3553E" w:rsidRPr="00CA4E4C">
        <w:rPr>
          <w:rFonts w:cs="Arial"/>
        </w:rPr>
        <w:t>s</w:t>
      </w:r>
    </w:p>
    <w:p w14:paraId="3CDB448E" w14:textId="77777777" w:rsidR="002403E7" w:rsidRPr="00CA4E4C" w:rsidRDefault="002403E7" w:rsidP="007C48CB">
      <w:pPr>
        <w:rPr>
          <w:rFonts w:cs="Arial"/>
        </w:rPr>
      </w:pPr>
    </w:p>
    <w:p w14:paraId="42E1CAC9" w14:textId="1944B62B" w:rsidR="004D621D" w:rsidRPr="00CA4E4C" w:rsidRDefault="009E0411" w:rsidP="00972285">
      <w:pPr>
        <w:jc w:val="both"/>
        <w:rPr>
          <w:rFonts w:cs="Arial"/>
        </w:rPr>
      </w:pPr>
      <w:r w:rsidRPr="00CA4E4C">
        <w:rPr>
          <w:rFonts w:cs="Arial"/>
        </w:rPr>
        <w:t>The HVAC</w:t>
      </w:r>
      <w:r w:rsidR="00F3553E" w:rsidRPr="00CA4E4C">
        <w:rPr>
          <w:rFonts w:cs="Arial"/>
        </w:rPr>
        <w:t xml:space="preserve"> </w:t>
      </w:r>
      <w:r w:rsidRPr="00CA4E4C">
        <w:rPr>
          <w:rFonts w:cs="Arial"/>
        </w:rPr>
        <w:t>programs have been non-cost-effective.  Therefore, in anticipation of the upcoming Statewide Upstream/Midstream program, SDG&amp;E will close these programs.</w:t>
      </w:r>
    </w:p>
    <w:p w14:paraId="6B2D5AA2" w14:textId="77777777" w:rsidR="007C48CB" w:rsidRPr="00CA4E4C" w:rsidRDefault="007C48CB" w:rsidP="007C48CB">
      <w:pPr>
        <w:rPr>
          <w:rFonts w:cs="Arial"/>
        </w:rPr>
      </w:pPr>
    </w:p>
    <w:p w14:paraId="45FADBFB" w14:textId="7C338479" w:rsidR="00D9182E" w:rsidRPr="00CA4E4C" w:rsidRDefault="0033598F" w:rsidP="00E31CDA">
      <w:pPr>
        <w:pStyle w:val="Heading4"/>
        <w:rPr>
          <w:rFonts w:cs="Arial"/>
        </w:rPr>
      </w:pPr>
      <w:r w:rsidRPr="00CA4E4C">
        <w:rPr>
          <w:rFonts w:cs="Arial"/>
        </w:rPr>
        <w:t>b</w:t>
      </w:r>
      <w:r w:rsidR="00D9182E" w:rsidRPr="00CA4E4C">
        <w:rPr>
          <w:rFonts w:cs="Arial"/>
        </w:rPr>
        <w:t>.</w:t>
      </w:r>
      <w:r w:rsidR="00D9182E" w:rsidRPr="00CA4E4C">
        <w:rPr>
          <w:rFonts w:cs="Arial"/>
        </w:rPr>
        <w:tab/>
      </w:r>
      <w:r w:rsidR="00B25C33" w:rsidRPr="00CA4E4C">
        <w:rPr>
          <w:rFonts w:cs="Arial"/>
        </w:rPr>
        <w:t>Upstream</w:t>
      </w:r>
      <w:r w:rsidR="00D9182E" w:rsidRPr="00CA4E4C">
        <w:rPr>
          <w:rFonts w:cs="Arial"/>
        </w:rPr>
        <w:t xml:space="preserve"> Lighting</w:t>
      </w:r>
      <w:r w:rsidRPr="00CA4E4C">
        <w:rPr>
          <w:rFonts w:cs="Arial"/>
        </w:rPr>
        <w:t xml:space="preserve"> Programs</w:t>
      </w:r>
    </w:p>
    <w:p w14:paraId="43D61203" w14:textId="77777777" w:rsidR="00D9182E" w:rsidRPr="00CA4E4C" w:rsidRDefault="00D9182E" w:rsidP="00D9182E">
      <w:pPr>
        <w:rPr>
          <w:rFonts w:cs="Arial"/>
        </w:rPr>
      </w:pPr>
    </w:p>
    <w:p w14:paraId="067DD12A" w14:textId="0478E68E" w:rsidR="00D9182E" w:rsidRPr="00CA4E4C" w:rsidRDefault="0033598F" w:rsidP="00972285">
      <w:pPr>
        <w:jc w:val="both"/>
        <w:rPr>
          <w:rFonts w:cs="Arial"/>
        </w:rPr>
      </w:pPr>
      <w:r w:rsidRPr="00CA4E4C">
        <w:rPr>
          <w:rFonts w:cs="Arial"/>
        </w:rPr>
        <w:t xml:space="preserve">Due to the changes in lighting codes &amp; standards and the significantly reductions in savings assumptions, SDG&amp;E will be closing its lighting programs. It is anticipated that with the solicitation for Statewide Lighting third party program, a new lighting program will be in place to continue to serve customers. </w:t>
      </w:r>
    </w:p>
    <w:p w14:paraId="23CDE418" w14:textId="77777777" w:rsidR="00D9182E" w:rsidRPr="00CA4E4C" w:rsidRDefault="00D9182E" w:rsidP="00D9182E">
      <w:pPr>
        <w:rPr>
          <w:rFonts w:cs="Arial"/>
        </w:rPr>
      </w:pPr>
    </w:p>
    <w:p w14:paraId="2CB42A29" w14:textId="08719FD6" w:rsidR="00E31CDA" w:rsidRPr="00CA4E4C" w:rsidRDefault="00D92AE8" w:rsidP="00E31CDA">
      <w:pPr>
        <w:pStyle w:val="Heading4"/>
        <w:rPr>
          <w:rFonts w:cs="Arial"/>
        </w:rPr>
      </w:pPr>
      <w:r w:rsidRPr="00CA4E4C">
        <w:rPr>
          <w:rFonts w:cs="Arial"/>
        </w:rPr>
        <w:t>c.</w:t>
      </w:r>
      <w:r w:rsidR="00E31CDA" w:rsidRPr="00CA4E4C">
        <w:rPr>
          <w:rFonts w:cs="Arial"/>
        </w:rPr>
        <w:tab/>
      </w:r>
      <w:r w:rsidR="0033598F" w:rsidRPr="00CA4E4C">
        <w:rPr>
          <w:rFonts w:cs="Arial"/>
        </w:rPr>
        <w:t>Plug Load and Appliances Programs</w:t>
      </w:r>
      <w:r w:rsidR="00E31CDA" w:rsidRPr="00CA4E4C">
        <w:rPr>
          <w:rFonts w:cs="Arial"/>
        </w:rPr>
        <w:t xml:space="preserve"> </w:t>
      </w:r>
    </w:p>
    <w:p w14:paraId="16C23EA3" w14:textId="77777777" w:rsidR="002403E7" w:rsidRPr="00CA4E4C" w:rsidRDefault="002403E7" w:rsidP="0052524F">
      <w:pPr>
        <w:rPr>
          <w:rFonts w:cs="Arial"/>
        </w:rPr>
      </w:pPr>
    </w:p>
    <w:p w14:paraId="59269998" w14:textId="3FC37066" w:rsidR="00E31CDA" w:rsidRPr="00CA4E4C" w:rsidRDefault="0052524F" w:rsidP="0033598F">
      <w:pPr>
        <w:rPr>
          <w:rFonts w:cs="Arial"/>
        </w:rPr>
      </w:pPr>
      <w:r w:rsidRPr="00CA4E4C">
        <w:rPr>
          <w:rFonts w:cs="Arial"/>
        </w:rPr>
        <w:t xml:space="preserve">SDG&amp;E will continue </w:t>
      </w:r>
      <w:r w:rsidR="0033598F" w:rsidRPr="00CA4E4C">
        <w:rPr>
          <w:rFonts w:cs="Arial"/>
        </w:rPr>
        <w:t>its Plug Load and Appliances</w:t>
      </w:r>
      <w:r w:rsidR="00B94B34" w:rsidRPr="00CA4E4C">
        <w:rPr>
          <w:rFonts w:cs="Arial"/>
        </w:rPr>
        <w:t xml:space="preserve"> (PLA)</w:t>
      </w:r>
      <w:r w:rsidR="0033598F" w:rsidRPr="00CA4E4C">
        <w:rPr>
          <w:rFonts w:cs="Arial"/>
        </w:rPr>
        <w:t xml:space="preserve"> programs.  SDG&amp;E’s </w:t>
      </w:r>
      <w:r w:rsidRPr="00CA4E4C">
        <w:rPr>
          <w:rFonts w:cs="Arial"/>
        </w:rPr>
        <w:t xml:space="preserve">Marketplace </w:t>
      </w:r>
      <w:r w:rsidR="0033598F" w:rsidRPr="00CA4E4C">
        <w:rPr>
          <w:rFonts w:cs="Arial"/>
        </w:rPr>
        <w:t xml:space="preserve">will continue under this program as </w:t>
      </w:r>
      <w:r w:rsidRPr="00CA4E4C">
        <w:rPr>
          <w:rFonts w:cs="Arial"/>
        </w:rPr>
        <w:t>directed by the Commission in Resolution E-4820</w:t>
      </w:r>
      <w:r w:rsidR="00972285" w:rsidRPr="00CA4E4C">
        <w:rPr>
          <w:rFonts w:cs="Arial"/>
        </w:rPr>
        <w:t>,</w:t>
      </w:r>
      <w:r w:rsidRPr="00CA4E4C">
        <w:rPr>
          <w:rFonts w:cs="Arial"/>
        </w:rPr>
        <w:t xml:space="preserve"> OP 1b</w:t>
      </w:r>
      <w:r w:rsidR="0033598F" w:rsidRPr="00CA4E4C">
        <w:rPr>
          <w:rFonts w:cs="Arial"/>
        </w:rPr>
        <w:t xml:space="preserve">. </w:t>
      </w:r>
      <w:r w:rsidR="00D92AE8" w:rsidRPr="00CA4E4C">
        <w:rPr>
          <w:rFonts w:cs="Arial"/>
        </w:rPr>
        <w:t xml:space="preserve"> S</w:t>
      </w:r>
      <w:r w:rsidR="0033598F" w:rsidRPr="00CA4E4C">
        <w:rPr>
          <w:rFonts w:cs="Arial"/>
        </w:rPr>
        <w:t>DG&amp;E will also be focusing on the more cost</w:t>
      </w:r>
      <w:r w:rsidR="005B769C" w:rsidRPr="00CA4E4C">
        <w:rPr>
          <w:rFonts w:cs="Arial"/>
        </w:rPr>
        <w:t>-</w:t>
      </w:r>
      <w:r w:rsidR="0033598F" w:rsidRPr="00CA4E4C">
        <w:rPr>
          <w:rFonts w:cs="Arial"/>
        </w:rPr>
        <w:t>effective measures in the program.  SDG&amp;E</w:t>
      </w:r>
      <w:r w:rsidR="00D92AE8" w:rsidRPr="00CA4E4C">
        <w:rPr>
          <w:rFonts w:cs="Arial"/>
        </w:rPr>
        <w:t xml:space="preserve"> </w:t>
      </w:r>
      <w:r w:rsidR="00C00046" w:rsidRPr="00CA4E4C">
        <w:rPr>
          <w:rFonts w:cs="Arial"/>
        </w:rPr>
        <w:t>has begun</w:t>
      </w:r>
      <w:r w:rsidR="00B94B34" w:rsidRPr="00CA4E4C">
        <w:rPr>
          <w:rFonts w:cs="Arial"/>
        </w:rPr>
        <w:t xml:space="preserve"> its solicitation for the Statewide PLA program that will replace SDG&amp;E’s </w:t>
      </w:r>
      <w:r w:rsidR="00C00046" w:rsidRPr="00CA4E4C">
        <w:rPr>
          <w:rFonts w:cs="Arial"/>
        </w:rPr>
        <w:t xml:space="preserve">local </w:t>
      </w:r>
      <w:r w:rsidR="00B94B34" w:rsidRPr="00CA4E4C">
        <w:rPr>
          <w:rFonts w:cs="Arial"/>
        </w:rPr>
        <w:t>PLA programs.</w:t>
      </w:r>
    </w:p>
    <w:p w14:paraId="38DF3DDA" w14:textId="649CB467" w:rsidR="00423437" w:rsidRPr="00CA4E4C" w:rsidRDefault="00423437" w:rsidP="008A4B70">
      <w:pPr>
        <w:rPr>
          <w:rFonts w:cs="Arial"/>
        </w:rPr>
      </w:pPr>
    </w:p>
    <w:p w14:paraId="6AC1CA54" w14:textId="1D0A3A30" w:rsidR="008A4B70" w:rsidRPr="00CA4E4C" w:rsidRDefault="008A4B70" w:rsidP="008A4B70">
      <w:pPr>
        <w:pStyle w:val="Heading3"/>
        <w:rPr>
          <w:rFonts w:cs="Arial"/>
        </w:rPr>
      </w:pPr>
      <w:r w:rsidRPr="00CA4E4C">
        <w:rPr>
          <w:rFonts w:cs="Arial"/>
        </w:rPr>
        <w:t>d.</w:t>
      </w:r>
      <w:r w:rsidRPr="00CA4E4C">
        <w:rPr>
          <w:rFonts w:cs="Arial"/>
        </w:rPr>
        <w:tab/>
        <w:t>Middle Income Direct Install (MIDI) Program</w:t>
      </w:r>
    </w:p>
    <w:p w14:paraId="033998B7" w14:textId="5718129B" w:rsidR="008A4B70" w:rsidRPr="00CA4E4C" w:rsidRDefault="008A4B70" w:rsidP="008A4B70">
      <w:pPr>
        <w:rPr>
          <w:rFonts w:cs="Arial"/>
        </w:rPr>
      </w:pPr>
    </w:p>
    <w:p w14:paraId="518E9A40" w14:textId="6404AE7F" w:rsidR="008A4B70" w:rsidRPr="00CA4E4C" w:rsidRDefault="008A4B70" w:rsidP="008A4B70">
      <w:pPr>
        <w:rPr>
          <w:rFonts w:cs="Arial"/>
        </w:rPr>
      </w:pPr>
      <w:r w:rsidRPr="00CA4E4C">
        <w:rPr>
          <w:rFonts w:cs="Arial"/>
        </w:rPr>
        <w:t>Due to lack of uptake in the program over the past few years and a continual downward trend in cost effectiveness, SDG&amp;E's MIDI program will not renew this program for 2020.</w:t>
      </w:r>
    </w:p>
    <w:p w14:paraId="55658068" w14:textId="77777777" w:rsidR="008A4B70" w:rsidRPr="00CA4E4C" w:rsidRDefault="008A4B70" w:rsidP="008A4B70">
      <w:pPr>
        <w:rPr>
          <w:rFonts w:cs="Arial"/>
        </w:rPr>
      </w:pPr>
    </w:p>
    <w:p w14:paraId="6754A1AB" w14:textId="7CCF06CF" w:rsidR="00F453E5" w:rsidRPr="00CA4E4C" w:rsidRDefault="00F453E5" w:rsidP="0052524F">
      <w:pPr>
        <w:pStyle w:val="Heading3"/>
        <w:rPr>
          <w:rFonts w:cs="Arial"/>
        </w:rPr>
      </w:pPr>
      <w:r w:rsidRPr="00CA4E4C">
        <w:rPr>
          <w:rFonts w:cs="Arial"/>
        </w:rPr>
        <w:t>2.</w:t>
      </w:r>
      <w:r w:rsidRPr="00CA4E4C">
        <w:rPr>
          <w:rFonts w:cs="Arial"/>
        </w:rPr>
        <w:tab/>
        <w:t xml:space="preserve">Multi Family </w:t>
      </w:r>
      <w:r w:rsidR="005B769C" w:rsidRPr="00CA4E4C">
        <w:rPr>
          <w:rFonts w:cs="Arial"/>
        </w:rPr>
        <w:t>Programs</w:t>
      </w:r>
    </w:p>
    <w:p w14:paraId="34CB1648" w14:textId="77777777" w:rsidR="00F453E5" w:rsidRPr="00CA4E4C" w:rsidRDefault="00F453E5" w:rsidP="00F453E5">
      <w:pPr>
        <w:rPr>
          <w:rFonts w:cs="Arial"/>
        </w:rPr>
      </w:pPr>
    </w:p>
    <w:p w14:paraId="211EEA74" w14:textId="38B91F6B" w:rsidR="005B769C" w:rsidRPr="00CA4E4C" w:rsidRDefault="005B769C" w:rsidP="00972285">
      <w:pPr>
        <w:jc w:val="both"/>
        <w:rPr>
          <w:rFonts w:cs="Arial"/>
        </w:rPr>
      </w:pPr>
      <w:r w:rsidRPr="00CA4E4C">
        <w:rPr>
          <w:rFonts w:cs="Arial"/>
        </w:rPr>
        <w:t>SDG&amp;E has analyzed the different measures offered in the Multi-</w:t>
      </w:r>
      <w:r w:rsidR="00D20B9E" w:rsidRPr="00CA4E4C">
        <w:rPr>
          <w:rFonts w:cs="Arial"/>
        </w:rPr>
        <w:t xml:space="preserve">Family </w:t>
      </w:r>
      <w:r w:rsidRPr="00CA4E4C">
        <w:rPr>
          <w:rFonts w:cs="Arial"/>
        </w:rPr>
        <w:t>Energy Efficiency Rebates (MFEER) and has limited program offerings to the most cost -effective measures</w:t>
      </w:r>
      <w:r w:rsidR="00D92AE8" w:rsidRPr="00CA4E4C">
        <w:rPr>
          <w:rFonts w:cs="Arial"/>
        </w:rPr>
        <w:t xml:space="preserve"> such as T8 LED fixture as reflected in the new updated statewide workpapers.</w:t>
      </w:r>
      <w:r w:rsidRPr="00CA4E4C">
        <w:rPr>
          <w:rFonts w:cs="Arial"/>
        </w:rPr>
        <w:t xml:space="preserve">  This has improved the cost effectiveness of the program significantly. </w:t>
      </w:r>
      <w:r w:rsidR="00D92AE8" w:rsidRPr="00CA4E4C">
        <w:rPr>
          <w:rFonts w:cs="Arial"/>
        </w:rPr>
        <w:t xml:space="preserve"> SDG&amp;E is concurrently conducting its Multi-Family </w:t>
      </w:r>
      <w:r w:rsidR="00D92AE8" w:rsidRPr="00CA4E4C">
        <w:rPr>
          <w:rFonts w:cs="Arial"/>
        </w:rPr>
        <w:lastRenderedPageBreak/>
        <w:t xml:space="preserve">solicitation.  SDG&amp;E will ramp down its </w:t>
      </w:r>
      <w:r w:rsidR="00F26B18" w:rsidRPr="00CA4E4C">
        <w:rPr>
          <w:rFonts w:cs="Arial"/>
        </w:rPr>
        <w:t xml:space="preserve">current </w:t>
      </w:r>
      <w:r w:rsidR="00D92AE8" w:rsidRPr="00CA4E4C">
        <w:rPr>
          <w:rFonts w:cs="Arial"/>
        </w:rPr>
        <w:t>multi-family programs in anticipation of the new Third Party Multi-</w:t>
      </w:r>
      <w:r w:rsidR="00F26B18" w:rsidRPr="00CA4E4C">
        <w:rPr>
          <w:rFonts w:cs="Arial"/>
        </w:rPr>
        <w:t>F</w:t>
      </w:r>
      <w:r w:rsidR="00D92AE8" w:rsidRPr="00CA4E4C">
        <w:rPr>
          <w:rFonts w:cs="Arial"/>
        </w:rPr>
        <w:t>amily</w:t>
      </w:r>
      <w:r w:rsidR="00D92AE8" w:rsidRPr="00CA4E4C" w:rsidDel="00F26B18">
        <w:rPr>
          <w:rFonts w:cs="Arial"/>
        </w:rPr>
        <w:t xml:space="preserve"> </w:t>
      </w:r>
      <w:r w:rsidR="00F26B18" w:rsidRPr="00CA4E4C">
        <w:rPr>
          <w:rFonts w:cs="Arial"/>
        </w:rPr>
        <w:t xml:space="preserve">Program </w:t>
      </w:r>
      <w:r w:rsidR="00D92AE8" w:rsidRPr="00CA4E4C">
        <w:rPr>
          <w:rFonts w:cs="Arial"/>
        </w:rPr>
        <w:t xml:space="preserve">expected to be operational in 2020 Q3.  </w:t>
      </w:r>
    </w:p>
    <w:p w14:paraId="46D2E4E5" w14:textId="23A3F990" w:rsidR="0096669C" w:rsidRPr="00CA4E4C" w:rsidRDefault="0096669C" w:rsidP="00972285">
      <w:pPr>
        <w:jc w:val="both"/>
        <w:rPr>
          <w:rFonts w:cs="Arial"/>
        </w:rPr>
      </w:pPr>
    </w:p>
    <w:p w14:paraId="1AE599AC" w14:textId="77777777" w:rsidR="00F453E5" w:rsidRPr="00CA4E4C" w:rsidRDefault="00F453E5" w:rsidP="006634EB">
      <w:pPr>
        <w:pStyle w:val="Heading2"/>
        <w:keepLines/>
        <w:rPr>
          <w:rFonts w:cs="Arial"/>
        </w:rPr>
      </w:pPr>
      <w:r w:rsidRPr="00CA4E4C">
        <w:rPr>
          <w:rFonts w:cs="Arial"/>
          <w:u w:val="none"/>
        </w:rPr>
        <w:t>B.</w:t>
      </w:r>
      <w:r w:rsidRPr="00CA4E4C">
        <w:rPr>
          <w:rFonts w:cs="Arial"/>
          <w:u w:val="none"/>
        </w:rPr>
        <w:tab/>
      </w:r>
      <w:r w:rsidRPr="00CA4E4C">
        <w:rPr>
          <w:rFonts w:cs="Arial"/>
        </w:rPr>
        <w:t>Commercial Sector</w:t>
      </w:r>
    </w:p>
    <w:p w14:paraId="75451939" w14:textId="77777777" w:rsidR="00F453E5" w:rsidRPr="00CA4E4C" w:rsidRDefault="00F453E5" w:rsidP="006634EB">
      <w:pPr>
        <w:keepNext/>
        <w:keepLines/>
        <w:rPr>
          <w:rFonts w:cs="Arial"/>
        </w:rPr>
      </w:pPr>
    </w:p>
    <w:p w14:paraId="23A2F654" w14:textId="77777777" w:rsidR="00F453E5" w:rsidRPr="00CA4E4C" w:rsidRDefault="00F453E5" w:rsidP="00F453E5">
      <w:pPr>
        <w:pStyle w:val="Heading3"/>
        <w:rPr>
          <w:rFonts w:cs="Arial"/>
        </w:rPr>
      </w:pPr>
      <w:r w:rsidRPr="00CA4E4C">
        <w:rPr>
          <w:rFonts w:cs="Arial"/>
        </w:rPr>
        <w:t>1.</w:t>
      </w:r>
      <w:r w:rsidRPr="00CA4E4C">
        <w:rPr>
          <w:rFonts w:cs="Arial"/>
        </w:rPr>
        <w:tab/>
        <w:t>Large Commercial Subsector</w:t>
      </w:r>
    </w:p>
    <w:p w14:paraId="3DD0BA93" w14:textId="4007E775" w:rsidR="00F220D5" w:rsidRPr="00CA4E4C" w:rsidRDefault="00F220D5" w:rsidP="00F220D5">
      <w:pPr>
        <w:rPr>
          <w:rFonts w:cs="Arial"/>
        </w:rPr>
      </w:pPr>
    </w:p>
    <w:p w14:paraId="0B926CE0" w14:textId="1F19BA05" w:rsidR="00606D37" w:rsidRPr="00CA4E4C" w:rsidRDefault="00335C77" w:rsidP="00972285">
      <w:pPr>
        <w:jc w:val="both"/>
        <w:rPr>
          <w:rFonts w:cs="Arial"/>
        </w:rPr>
      </w:pPr>
      <w:bookmarkStart w:id="4" w:name="_Hlk15334003"/>
      <w:r w:rsidRPr="00CA4E4C">
        <w:rPr>
          <w:rFonts w:cs="Arial"/>
        </w:rPr>
        <w:t xml:space="preserve">Program offerings for large commercial customers will continue as status quo for </w:t>
      </w:r>
      <w:r w:rsidR="00EC70FE" w:rsidRPr="00CA4E4C">
        <w:rPr>
          <w:rFonts w:cs="Arial"/>
        </w:rPr>
        <w:t xml:space="preserve">most of </w:t>
      </w:r>
      <w:r w:rsidRPr="00CA4E4C">
        <w:rPr>
          <w:rFonts w:cs="Arial"/>
        </w:rPr>
        <w:t>20</w:t>
      </w:r>
      <w:r w:rsidR="00EC70FE" w:rsidRPr="00CA4E4C">
        <w:rPr>
          <w:rFonts w:cs="Arial"/>
        </w:rPr>
        <w:t>20</w:t>
      </w:r>
      <w:r w:rsidRPr="00CA4E4C">
        <w:rPr>
          <w:rFonts w:cs="Arial"/>
        </w:rPr>
        <w:t xml:space="preserve">. </w:t>
      </w:r>
      <w:r w:rsidR="00972285" w:rsidRPr="00CA4E4C">
        <w:rPr>
          <w:rFonts w:cs="Arial"/>
        </w:rPr>
        <w:t xml:space="preserve"> </w:t>
      </w:r>
      <w:bookmarkStart w:id="5" w:name="_Hlk15334429"/>
      <w:r w:rsidRPr="00CA4E4C">
        <w:rPr>
          <w:rFonts w:cs="Arial"/>
        </w:rPr>
        <w:t xml:space="preserve">Per the solicitation schedule </w:t>
      </w:r>
      <w:r w:rsidR="00F220D5" w:rsidRPr="00CA4E4C">
        <w:rPr>
          <w:rFonts w:cs="Arial"/>
        </w:rPr>
        <w:t>SDG&amp;E</w:t>
      </w:r>
      <w:r w:rsidRPr="00CA4E4C">
        <w:rPr>
          <w:rFonts w:cs="Arial"/>
        </w:rPr>
        <w:t xml:space="preserve"> anticipate</w:t>
      </w:r>
      <w:r w:rsidR="00997D36" w:rsidRPr="00CA4E4C">
        <w:rPr>
          <w:rFonts w:cs="Arial"/>
        </w:rPr>
        <w:t>s</w:t>
      </w:r>
      <w:r w:rsidRPr="00CA4E4C">
        <w:rPr>
          <w:rFonts w:cs="Arial"/>
        </w:rPr>
        <w:t xml:space="preserve"> a </w:t>
      </w:r>
      <w:r w:rsidR="00F220D5" w:rsidRPr="00CA4E4C">
        <w:rPr>
          <w:rFonts w:cs="Arial"/>
        </w:rPr>
        <w:t xml:space="preserve">new </w:t>
      </w:r>
      <w:r w:rsidR="00EC70FE" w:rsidRPr="00CA4E4C">
        <w:rPr>
          <w:rFonts w:cs="Arial"/>
        </w:rPr>
        <w:t>T</w:t>
      </w:r>
      <w:r w:rsidR="00F220D5" w:rsidRPr="00CA4E4C">
        <w:rPr>
          <w:rFonts w:cs="Arial"/>
        </w:rPr>
        <w:t>hird</w:t>
      </w:r>
      <w:r w:rsidR="00EC70FE" w:rsidRPr="00CA4E4C">
        <w:rPr>
          <w:rFonts w:cs="Arial"/>
        </w:rPr>
        <w:t xml:space="preserve"> P</w:t>
      </w:r>
      <w:r w:rsidR="00F220D5" w:rsidRPr="00CA4E4C">
        <w:rPr>
          <w:rFonts w:cs="Arial"/>
        </w:rPr>
        <w:t xml:space="preserve">arty </w:t>
      </w:r>
      <w:r w:rsidR="00236296" w:rsidRPr="00CA4E4C">
        <w:rPr>
          <w:rFonts w:cs="Arial"/>
        </w:rPr>
        <w:t xml:space="preserve">implementer </w:t>
      </w:r>
      <w:r w:rsidRPr="00CA4E4C">
        <w:rPr>
          <w:rFonts w:cs="Arial"/>
        </w:rPr>
        <w:t>contract</w:t>
      </w:r>
      <w:r w:rsidR="00EC70FE" w:rsidRPr="00CA4E4C">
        <w:rPr>
          <w:rFonts w:cs="Arial"/>
        </w:rPr>
        <w:t>(s)</w:t>
      </w:r>
      <w:r w:rsidRPr="00CA4E4C">
        <w:rPr>
          <w:rFonts w:cs="Arial"/>
        </w:rPr>
        <w:t xml:space="preserve"> </w:t>
      </w:r>
      <w:r w:rsidR="00236296" w:rsidRPr="00CA4E4C">
        <w:rPr>
          <w:rFonts w:cs="Arial"/>
        </w:rPr>
        <w:t>for this market by</w:t>
      </w:r>
      <w:r w:rsidRPr="00CA4E4C">
        <w:rPr>
          <w:rFonts w:cs="Arial"/>
        </w:rPr>
        <w:t xml:space="preserve"> the end </w:t>
      </w:r>
      <w:r w:rsidR="586A338B" w:rsidRPr="00CA4E4C">
        <w:rPr>
          <w:rFonts w:cs="Arial"/>
        </w:rPr>
        <w:t xml:space="preserve">Q1 </w:t>
      </w:r>
      <w:r w:rsidR="009C33D1" w:rsidRPr="00CA4E4C">
        <w:rPr>
          <w:rFonts w:cs="Arial"/>
        </w:rPr>
        <w:t>2020</w:t>
      </w:r>
      <w:r w:rsidRPr="00CA4E4C">
        <w:rPr>
          <w:rFonts w:cs="Arial"/>
        </w:rPr>
        <w:t>.</w:t>
      </w:r>
    </w:p>
    <w:bookmarkEnd w:id="4"/>
    <w:bookmarkEnd w:id="5"/>
    <w:p w14:paraId="0B678E31" w14:textId="77777777" w:rsidR="00F453E5" w:rsidRPr="00CA4E4C" w:rsidRDefault="00F453E5" w:rsidP="00F453E5">
      <w:pPr>
        <w:rPr>
          <w:rFonts w:cs="Arial"/>
        </w:rPr>
      </w:pPr>
    </w:p>
    <w:p w14:paraId="1EC6A5D9" w14:textId="77777777" w:rsidR="00F453E5" w:rsidRPr="00CA4E4C" w:rsidRDefault="00F453E5" w:rsidP="00F453E5">
      <w:pPr>
        <w:pStyle w:val="Heading3"/>
        <w:rPr>
          <w:rFonts w:cs="Arial"/>
        </w:rPr>
      </w:pPr>
      <w:r w:rsidRPr="00CA4E4C">
        <w:rPr>
          <w:rFonts w:cs="Arial"/>
        </w:rPr>
        <w:t>2.</w:t>
      </w:r>
      <w:r w:rsidRPr="00CA4E4C">
        <w:rPr>
          <w:rFonts w:cs="Arial"/>
        </w:rPr>
        <w:tab/>
        <w:t>Small Commercial Subsector</w:t>
      </w:r>
    </w:p>
    <w:p w14:paraId="45D54A93" w14:textId="77777777" w:rsidR="00F453E5" w:rsidRPr="00CA4E4C" w:rsidRDefault="00F453E5" w:rsidP="00F453E5">
      <w:pPr>
        <w:rPr>
          <w:rFonts w:cs="Arial"/>
        </w:rPr>
      </w:pPr>
    </w:p>
    <w:p w14:paraId="65A2DFBB" w14:textId="39020478" w:rsidR="009C33D1" w:rsidRPr="00CA4E4C" w:rsidRDefault="00EC70FE" w:rsidP="009C33D1">
      <w:pPr>
        <w:jc w:val="both"/>
        <w:rPr>
          <w:rFonts w:cs="Arial"/>
        </w:rPr>
      </w:pPr>
      <w:r w:rsidRPr="00CA4E4C">
        <w:rPr>
          <w:rFonts w:cs="Arial"/>
        </w:rPr>
        <w:t xml:space="preserve">Program offerings for </w:t>
      </w:r>
      <w:r w:rsidR="009C33D1" w:rsidRPr="00CA4E4C">
        <w:rPr>
          <w:rFonts w:cs="Arial"/>
        </w:rPr>
        <w:t>small</w:t>
      </w:r>
      <w:r w:rsidRPr="00CA4E4C">
        <w:rPr>
          <w:rFonts w:cs="Arial"/>
        </w:rPr>
        <w:t xml:space="preserve"> commercial customers will continue as status quo </w:t>
      </w:r>
      <w:r w:rsidR="003E5AE5" w:rsidRPr="00CA4E4C">
        <w:rPr>
          <w:rFonts w:cs="Arial"/>
        </w:rPr>
        <w:t xml:space="preserve">with an increased focus on the most cost effective measures </w:t>
      </w:r>
      <w:r w:rsidRPr="00CA4E4C">
        <w:rPr>
          <w:rFonts w:cs="Arial"/>
        </w:rPr>
        <w:t xml:space="preserve">for most of 2020.  </w:t>
      </w:r>
      <w:r w:rsidR="009C33D1" w:rsidRPr="00CA4E4C">
        <w:rPr>
          <w:rFonts w:cs="Arial"/>
        </w:rPr>
        <w:t>Per the solicitation schedule</w:t>
      </w:r>
      <w:r w:rsidR="00FE7580" w:rsidRPr="00CA4E4C">
        <w:rPr>
          <w:rFonts w:cs="Arial"/>
        </w:rPr>
        <w:t>,</w:t>
      </w:r>
      <w:r w:rsidR="009C33D1" w:rsidRPr="00CA4E4C">
        <w:rPr>
          <w:rFonts w:cs="Arial"/>
        </w:rPr>
        <w:t xml:space="preserve"> SDG&amp;E anticipates a new Third Party implementer contract(s) for this market by the end </w:t>
      </w:r>
      <w:r w:rsidR="6800E6B3" w:rsidRPr="00CA4E4C">
        <w:rPr>
          <w:rFonts w:cs="Arial"/>
        </w:rPr>
        <w:t xml:space="preserve">of Q1 </w:t>
      </w:r>
      <w:r w:rsidR="009C33D1" w:rsidRPr="00CA4E4C">
        <w:rPr>
          <w:rFonts w:cs="Arial"/>
        </w:rPr>
        <w:t>2020.</w:t>
      </w:r>
    </w:p>
    <w:p w14:paraId="28C1F65B" w14:textId="238FFB27" w:rsidR="00BF1987" w:rsidRPr="00CA4E4C" w:rsidRDefault="00BF1987" w:rsidP="00972285">
      <w:pPr>
        <w:jc w:val="both"/>
        <w:rPr>
          <w:rFonts w:cs="Arial"/>
        </w:rPr>
      </w:pPr>
    </w:p>
    <w:p w14:paraId="3414DC2C" w14:textId="23D3EE02" w:rsidR="00606D37" w:rsidRPr="00CA4E4C" w:rsidRDefault="001D2AC8" w:rsidP="00972285">
      <w:pPr>
        <w:jc w:val="both"/>
        <w:rPr>
          <w:rFonts w:cs="Arial"/>
        </w:rPr>
      </w:pPr>
      <w:r w:rsidRPr="00CA4E4C">
        <w:rPr>
          <w:rFonts w:cs="Arial"/>
        </w:rPr>
        <w:t xml:space="preserve">SDG&amp;E will </w:t>
      </w:r>
      <w:r w:rsidR="00BF1987" w:rsidRPr="00CA4E4C">
        <w:rPr>
          <w:rFonts w:cs="Arial"/>
        </w:rPr>
        <w:t xml:space="preserve">address Commission direction </w:t>
      </w:r>
      <w:bookmarkStart w:id="6" w:name="_Hlk521957076"/>
      <w:r w:rsidR="00335C77" w:rsidRPr="00CA4E4C">
        <w:rPr>
          <w:rFonts w:cs="Arial"/>
        </w:rPr>
        <w:t xml:space="preserve">to incorporate IDSM strategies </w:t>
      </w:r>
      <w:r w:rsidR="009F3975" w:rsidRPr="00CA4E4C">
        <w:rPr>
          <w:rFonts w:cs="Arial"/>
        </w:rPr>
        <w:t>by adding $4 million. The additional funding</w:t>
      </w:r>
      <w:r w:rsidR="00154E0F" w:rsidRPr="00CA4E4C">
        <w:rPr>
          <w:rFonts w:cs="Arial"/>
        </w:rPr>
        <w:t xml:space="preserve"> will not result in any</w:t>
      </w:r>
      <w:r w:rsidR="00335C77" w:rsidRPr="00CA4E4C">
        <w:rPr>
          <w:rFonts w:cs="Arial"/>
        </w:rPr>
        <w:t xml:space="preserve"> </w:t>
      </w:r>
      <w:r w:rsidR="00BF1987" w:rsidRPr="00CA4E4C">
        <w:rPr>
          <w:rFonts w:cs="Arial"/>
        </w:rPr>
        <w:t>immediate savings benefits</w:t>
      </w:r>
      <w:r w:rsidR="00335C77" w:rsidRPr="00CA4E4C">
        <w:rPr>
          <w:rFonts w:cs="Arial"/>
        </w:rPr>
        <w:t xml:space="preserve">, </w:t>
      </w:r>
      <w:r w:rsidR="00BF1987" w:rsidRPr="00CA4E4C">
        <w:rPr>
          <w:rFonts w:cs="Arial"/>
        </w:rPr>
        <w:t xml:space="preserve">thus </w:t>
      </w:r>
      <w:r w:rsidR="00335C77" w:rsidRPr="00CA4E4C">
        <w:rPr>
          <w:rFonts w:cs="Arial"/>
        </w:rPr>
        <w:t>resulting in a TRC below 1.0</w:t>
      </w:r>
      <w:r w:rsidR="00BF1987" w:rsidRPr="00CA4E4C">
        <w:rPr>
          <w:rFonts w:cs="Arial"/>
        </w:rPr>
        <w:t xml:space="preserve"> for this subsector.</w:t>
      </w:r>
      <w:r w:rsidR="009F3E8D" w:rsidRPr="00CA4E4C">
        <w:rPr>
          <w:rFonts w:cs="Arial"/>
        </w:rPr>
        <w:t xml:space="preserve"> </w:t>
      </w:r>
    </w:p>
    <w:p w14:paraId="1F4F5908" w14:textId="49A3117A" w:rsidR="00BF1987" w:rsidRPr="00CA4E4C" w:rsidRDefault="00BF1987" w:rsidP="00972285">
      <w:pPr>
        <w:jc w:val="both"/>
        <w:rPr>
          <w:rFonts w:cs="Arial"/>
        </w:rPr>
      </w:pPr>
    </w:p>
    <w:p w14:paraId="0FE251B6" w14:textId="093BFC7B" w:rsidR="009C33D1" w:rsidRPr="00CA4E4C" w:rsidRDefault="009C33D1" w:rsidP="009C33D1">
      <w:pPr>
        <w:pStyle w:val="Heading3"/>
        <w:rPr>
          <w:rFonts w:cs="Arial"/>
        </w:rPr>
      </w:pPr>
      <w:r w:rsidRPr="00CA4E4C">
        <w:rPr>
          <w:rFonts w:cs="Arial"/>
        </w:rPr>
        <w:t>3.</w:t>
      </w:r>
      <w:r w:rsidRPr="00CA4E4C">
        <w:rPr>
          <w:rFonts w:cs="Arial"/>
        </w:rPr>
        <w:tab/>
        <w:t>Other Commercial Programs</w:t>
      </w:r>
    </w:p>
    <w:bookmarkEnd w:id="6"/>
    <w:p w14:paraId="113C858B" w14:textId="19071704" w:rsidR="00F453E5" w:rsidRPr="00CA4E4C" w:rsidRDefault="00F453E5" w:rsidP="00F453E5">
      <w:pPr>
        <w:rPr>
          <w:rFonts w:cs="Arial"/>
        </w:rPr>
      </w:pPr>
    </w:p>
    <w:p w14:paraId="56DFFB40" w14:textId="247F3A87" w:rsidR="003E5AE5" w:rsidRPr="00CA4E4C" w:rsidRDefault="003E5AE5" w:rsidP="00F453E5">
      <w:pPr>
        <w:rPr>
          <w:rFonts w:cs="Arial"/>
        </w:rPr>
      </w:pPr>
      <w:r w:rsidRPr="00CA4E4C">
        <w:rPr>
          <w:rFonts w:cs="Arial"/>
        </w:rPr>
        <w:t xml:space="preserve">SDG&amp;E will close the following programs at the end of 2019: HVAC deemed program, Customer Services Pump Test Services program, Energy Advantage Program, </w:t>
      </w:r>
      <w:r w:rsidR="00C343CB" w:rsidRPr="00CA4E4C">
        <w:rPr>
          <w:rFonts w:cs="Arial"/>
        </w:rPr>
        <w:t>B</w:t>
      </w:r>
      <w:r w:rsidRPr="00CA4E4C">
        <w:rPr>
          <w:rFonts w:cs="Arial"/>
        </w:rPr>
        <w:t>enchmarking.</w:t>
      </w:r>
    </w:p>
    <w:p w14:paraId="5B2AEE5C" w14:textId="77777777" w:rsidR="003E5AE5" w:rsidRPr="00CA4E4C" w:rsidRDefault="003E5AE5" w:rsidP="00F453E5">
      <w:pPr>
        <w:rPr>
          <w:rFonts w:cs="Arial"/>
        </w:rPr>
      </w:pPr>
    </w:p>
    <w:p w14:paraId="59DBDBBE" w14:textId="77777777" w:rsidR="00775F7D" w:rsidRPr="00CA4E4C" w:rsidRDefault="00775F7D" w:rsidP="00775F7D">
      <w:pPr>
        <w:pStyle w:val="Heading2"/>
        <w:rPr>
          <w:rFonts w:cs="Arial"/>
        </w:rPr>
      </w:pPr>
      <w:r w:rsidRPr="00CA4E4C">
        <w:rPr>
          <w:rFonts w:cs="Arial"/>
          <w:u w:val="none"/>
        </w:rPr>
        <w:t>C.</w:t>
      </w:r>
      <w:r w:rsidRPr="00CA4E4C">
        <w:rPr>
          <w:rFonts w:cs="Arial"/>
          <w:u w:val="none"/>
        </w:rPr>
        <w:tab/>
      </w:r>
      <w:r w:rsidRPr="00CA4E4C">
        <w:rPr>
          <w:rFonts w:cs="Arial"/>
        </w:rPr>
        <w:t>Industrial Sector</w:t>
      </w:r>
    </w:p>
    <w:p w14:paraId="6289F558" w14:textId="77777777" w:rsidR="0067720C" w:rsidRPr="00CA4E4C" w:rsidRDefault="0067720C" w:rsidP="0067720C">
      <w:pPr>
        <w:rPr>
          <w:rFonts w:cs="Arial"/>
        </w:rPr>
      </w:pPr>
    </w:p>
    <w:p w14:paraId="2A405B10" w14:textId="24D78AF0" w:rsidR="00606D37" w:rsidRPr="00CA4E4C" w:rsidRDefault="00335C77" w:rsidP="00972285">
      <w:pPr>
        <w:jc w:val="both"/>
        <w:rPr>
          <w:rFonts w:cs="Arial"/>
        </w:rPr>
      </w:pPr>
      <w:r w:rsidRPr="00CA4E4C">
        <w:rPr>
          <w:rFonts w:cs="Arial"/>
        </w:rPr>
        <w:t xml:space="preserve">Program offerings for Industrial customers will continue as </w:t>
      </w:r>
      <w:r w:rsidR="00784D5D" w:rsidRPr="00CA4E4C">
        <w:rPr>
          <w:rFonts w:cs="Arial"/>
        </w:rPr>
        <w:t>s</w:t>
      </w:r>
      <w:r w:rsidRPr="00CA4E4C">
        <w:rPr>
          <w:rFonts w:cs="Arial"/>
        </w:rPr>
        <w:t>tatus quo for 20</w:t>
      </w:r>
      <w:r w:rsidR="003E5AE5" w:rsidRPr="00CA4E4C">
        <w:rPr>
          <w:rFonts w:cs="Arial"/>
        </w:rPr>
        <w:t>20</w:t>
      </w:r>
      <w:r w:rsidRPr="00CA4E4C">
        <w:rPr>
          <w:rFonts w:cs="Arial"/>
        </w:rPr>
        <w:t xml:space="preserve">. </w:t>
      </w:r>
      <w:r w:rsidR="00972285" w:rsidRPr="00CA4E4C">
        <w:rPr>
          <w:rFonts w:cs="Arial"/>
        </w:rPr>
        <w:t xml:space="preserve"> </w:t>
      </w:r>
      <w:r w:rsidR="003E5AE5" w:rsidRPr="00CA4E4C">
        <w:rPr>
          <w:rFonts w:cs="Arial"/>
        </w:rPr>
        <w:t xml:space="preserve">The following programs will end in 2019: Industrial Pump Test program and Benchmarking.  </w:t>
      </w:r>
      <w:r w:rsidRPr="00CA4E4C">
        <w:rPr>
          <w:rFonts w:cs="Arial"/>
        </w:rPr>
        <w:t>Per the solicitation schedule</w:t>
      </w:r>
      <w:r w:rsidR="0041749B" w:rsidRPr="00CA4E4C">
        <w:rPr>
          <w:rFonts w:cs="Arial"/>
        </w:rPr>
        <w:t>,</w:t>
      </w:r>
      <w:r w:rsidRPr="00CA4E4C">
        <w:rPr>
          <w:rFonts w:cs="Arial"/>
        </w:rPr>
        <w:t xml:space="preserve"> </w:t>
      </w:r>
      <w:r w:rsidR="003A26F3" w:rsidRPr="00CA4E4C">
        <w:rPr>
          <w:rFonts w:cs="Arial"/>
        </w:rPr>
        <w:t>SDG&amp;E</w:t>
      </w:r>
      <w:r w:rsidRPr="00CA4E4C">
        <w:rPr>
          <w:rFonts w:cs="Arial"/>
        </w:rPr>
        <w:t xml:space="preserve"> anticipate</w:t>
      </w:r>
      <w:r w:rsidR="003A26F3" w:rsidRPr="00CA4E4C">
        <w:rPr>
          <w:rFonts w:cs="Arial"/>
        </w:rPr>
        <w:t>s</w:t>
      </w:r>
      <w:r w:rsidRPr="00CA4E4C">
        <w:rPr>
          <w:rFonts w:cs="Arial"/>
        </w:rPr>
        <w:t xml:space="preserve"> signing a contract </w:t>
      </w:r>
      <w:r w:rsidR="00C4475D" w:rsidRPr="00CA4E4C">
        <w:rPr>
          <w:rFonts w:cs="Arial"/>
        </w:rPr>
        <w:t>for this market</w:t>
      </w:r>
      <w:r w:rsidR="006042A9" w:rsidRPr="00CA4E4C">
        <w:rPr>
          <w:rFonts w:cs="Arial"/>
        </w:rPr>
        <w:t xml:space="preserve"> </w:t>
      </w:r>
      <w:r w:rsidRPr="00CA4E4C">
        <w:rPr>
          <w:rFonts w:cs="Arial"/>
        </w:rPr>
        <w:t>in the middle of 2021</w:t>
      </w:r>
      <w:r w:rsidR="00185B46" w:rsidRPr="00CA4E4C">
        <w:rPr>
          <w:rFonts w:cs="Arial"/>
        </w:rPr>
        <w:t>.</w:t>
      </w:r>
      <w:r w:rsidRPr="00CA4E4C">
        <w:rPr>
          <w:rFonts w:cs="Arial"/>
        </w:rPr>
        <w:t xml:space="preserve"> </w:t>
      </w:r>
    </w:p>
    <w:p w14:paraId="01F24E48" w14:textId="77777777" w:rsidR="00775F7D" w:rsidRPr="00CA4E4C" w:rsidRDefault="00775F7D" w:rsidP="00775F7D">
      <w:pPr>
        <w:rPr>
          <w:rFonts w:cs="Arial"/>
        </w:rPr>
      </w:pPr>
    </w:p>
    <w:p w14:paraId="47B1CEFC" w14:textId="77777777" w:rsidR="00775F7D" w:rsidRPr="00CA4E4C" w:rsidRDefault="00775F7D" w:rsidP="00C06AA2">
      <w:pPr>
        <w:pStyle w:val="Heading2"/>
        <w:rPr>
          <w:rFonts w:cs="Arial"/>
        </w:rPr>
      </w:pPr>
      <w:r w:rsidRPr="00CA4E4C">
        <w:rPr>
          <w:rFonts w:cs="Arial"/>
          <w:u w:val="none"/>
        </w:rPr>
        <w:t>D.</w:t>
      </w:r>
      <w:r w:rsidRPr="00CA4E4C">
        <w:rPr>
          <w:rFonts w:cs="Arial"/>
          <w:u w:val="none"/>
        </w:rPr>
        <w:tab/>
      </w:r>
      <w:r w:rsidR="00C06AA2" w:rsidRPr="00CA4E4C">
        <w:rPr>
          <w:rFonts w:cs="Arial"/>
        </w:rPr>
        <w:t>Agricultural Sector</w:t>
      </w:r>
    </w:p>
    <w:p w14:paraId="0B5E878C" w14:textId="77777777" w:rsidR="00C06AA2" w:rsidRPr="00CA4E4C" w:rsidRDefault="00C06AA2" w:rsidP="00775F7D">
      <w:pPr>
        <w:rPr>
          <w:rFonts w:cs="Arial"/>
        </w:rPr>
      </w:pPr>
    </w:p>
    <w:p w14:paraId="6E59DD54" w14:textId="77777777" w:rsidR="00CC1FF1" w:rsidRPr="00CA4E4C" w:rsidRDefault="00CC1FF1" w:rsidP="00972285">
      <w:pPr>
        <w:jc w:val="both"/>
        <w:rPr>
          <w:rFonts w:cs="Arial"/>
        </w:rPr>
      </w:pPr>
      <w:r w:rsidRPr="00CA4E4C">
        <w:rPr>
          <w:rFonts w:cs="Arial"/>
        </w:rPr>
        <w:t xml:space="preserve">Most </w:t>
      </w:r>
      <w:r w:rsidR="00335C77" w:rsidRPr="00CA4E4C">
        <w:rPr>
          <w:rFonts w:cs="Arial"/>
        </w:rPr>
        <w:t xml:space="preserve">Program offerings for </w:t>
      </w:r>
      <w:r w:rsidR="00980AB5" w:rsidRPr="00CA4E4C">
        <w:rPr>
          <w:rFonts w:cs="Arial"/>
        </w:rPr>
        <w:t xml:space="preserve">the </w:t>
      </w:r>
      <w:r w:rsidR="00335C77" w:rsidRPr="00CA4E4C">
        <w:rPr>
          <w:rFonts w:cs="Arial"/>
        </w:rPr>
        <w:t xml:space="preserve">customers will continue </w:t>
      </w:r>
      <w:r w:rsidR="00980AB5" w:rsidRPr="00CA4E4C">
        <w:rPr>
          <w:rFonts w:cs="Arial"/>
        </w:rPr>
        <w:t xml:space="preserve">as </w:t>
      </w:r>
      <w:r w:rsidR="00AE72D0" w:rsidRPr="00CA4E4C">
        <w:rPr>
          <w:rFonts w:cs="Arial"/>
        </w:rPr>
        <w:t>status quo for 20</w:t>
      </w:r>
      <w:r w:rsidR="003E5AE5" w:rsidRPr="00CA4E4C">
        <w:rPr>
          <w:rFonts w:cs="Arial"/>
        </w:rPr>
        <w:t xml:space="preserve">20 </w:t>
      </w:r>
      <w:r w:rsidR="00335C77" w:rsidRPr="00CA4E4C">
        <w:rPr>
          <w:rFonts w:cs="Arial"/>
        </w:rPr>
        <w:t>and possibly through 202</w:t>
      </w:r>
      <w:r w:rsidRPr="00CA4E4C">
        <w:rPr>
          <w:rFonts w:cs="Arial"/>
        </w:rPr>
        <w:t>1</w:t>
      </w:r>
      <w:r w:rsidR="00335C77" w:rsidRPr="00CA4E4C">
        <w:rPr>
          <w:rFonts w:cs="Arial"/>
        </w:rPr>
        <w:t xml:space="preserve"> to </w:t>
      </w:r>
      <w:r w:rsidR="00980AB5" w:rsidRPr="00CA4E4C">
        <w:rPr>
          <w:rFonts w:cs="Arial"/>
        </w:rPr>
        <w:t xml:space="preserve">ensure </w:t>
      </w:r>
      <w:r w:rsidR="00335C77" w:rsidRPr="00CA4E4C">
        <w:rPr>
          <w:rFonts w:cs="Arial"/>
        </w:rPr>
        <w:t xml:space="preserve">customers in this sector </w:t>
      </w:r>
      <w:r w:rsidR="00980AB5" w:rsidRPr="00CA4E4C">
        <w:rPr>
          <w:rFonts w:cs="Arial"/>
        </w:rPr>
        <w:t>continue to be</w:t>
      </w:r>
      <w:r w:rsidR="00335C77" w:rsidRPr="00CA4E4C">
        <w:rPr>
          <w:rFonts w:cs="Arial"/>
        </w:rPr>
        <w:t xml:space="preserve"> served during the ramp down period. </w:t>
      </w:r>
      <w:r w:rsidR="00AE72D0" w:rsidRPr="00CA4E4C">
        <w:rPr>
          <w:rFonts w:cs="Arial"/>
        </w:rPr>
        <w:t xml:space="preserve"> </w:t>
      </w:r>
      <w:r w:rsidRPr="00CA4E4C">
        <w:rPr>
          <w:rFonts w:cs="Arial"/>
        </w:rPr>
        <w:t>The Agricultural Pump Test and Benchmarking programs will be close at the end of 2019.</w:t>
      </w:r>
    </w:p>
    <w:p w14:paraId="4482C2DA" w14:textId="4ED57798" w:rsidR="00606D37" w:rsidRPr="00CA4E4C" w:rsidRDefault="00335C77" w:rsidP="00972285">
      <w:pPr>
        <w:jc w:val="both"/>
        <w:rPr>
          <w:rFonts w:cs="Arial"/>
        </w:rPr>
      </w:pPr>
      <w:r w:rsidRPr="00CA4E4C">
        <w:rPr>
          <w:rFonts w:cs="Arial"/>
        </w:rPr>
        <w:t>Per the solicitation schedule</w:t>
      </w:r>
      <w:r w:rsidR="00CF0959" w:rsidRPr="00CA4E4C">
        <w:rPr>
          <w:rFonts w:cs="Arial"/>
        </w:rPr>
        <w:t>,</w:t>
      </w:r>
      <w:r w:rsidRPr="00CA4E4C">
        <w:rPr>
          <w:rFonts w:cs="Arial"/>
        </w:rPr>
        <w:t xml:space="preserve"> </w:t>
      </w:r>
      <w:r w:rsidR="001A049E" w:rsidRPr="00CA4E4C">
        <w:rPr>
          <w:rFonts w:cs="Arial"/>
        </w:rPr>
        <w:t>SDG&amp;E</w:t>
      </w:r>
      <w:r w:rsidRPr="00CA4E4C">
        <w:rPr>
          <w:rFonts w:cs="Arial"/>
        </w:rPr>
        <w:t xml:space="preserve"> anticipate</w:t>
      </w:r>
      <w:r w:rsidR="001A049E" w:rsidRPr="00CA4E4C">
        <w:rPr>
          <w:rFonts w:cs="Arial"/>
        </w:rPr>
        <w:t>s</w:t>
      </w:r>
      <w:r w:rsidRPr="00CA4E4C">
        <w:rPr>
          <w:rFonts w:cs="Arial"/>
        </w:rPr>
        <w:t xml:space="preserve"> signing a contract </w:t>
      </w:r>
      <w:r w:rsidR="00997D36" w:rsidRPr="00CA4E4C">
        <w:rPr>
          <w:rFonts w:cs="Arial"/>
        </w:rPr>
        <w:t xml:space="preserve">in </w:t>
      </w:r>
      <w:r w:rsidR="00CC1FF1" w:rsidRPr="00CA4E4C">
        <w:rPr>
          <w:rFonts w:cs="Arial"/>
        </w:rPr>
        <w:t>early</w:t>
      </w:r>
      <w:r w:rsidRPr="00CA4E4C">
        <w:rPr>
          <w:rFonts w:cs="Arial"/>
        </w:rPr>
        <w:t xml:space="preserve"> 202</w:t>
      </w:r>
      <w:r w:rsidR="00CC1FF1" w:rsidRPr="00CA4E4C">
        <w:rPr>
          <w:rFonts w:cs="Arial"/>
        </w:rPr>
        <w:t>1</w:t>
      </w:r>
      <w:r w:rsidRPr="00CA4E4C">
        <w:rPr>
          <w:rFonts w:cs="Arial"/>
        </w:rPr>
        <w:t xml:space="preserve"> with </w:t>
      </w:r>
      <w:r w:rsidR="00997D36" w:rsidRPr="00CA4E4C">
        <w:rPr>
          <w:rFonts w:cs="Arial"/>
        </w:rPr>
        <w:t xml:space="preserve">a </w:t>
      </w:r>
      <w:r w:rsidR="00980AB5" w:rsidRPr="00CA4E4C">
        <w:rPr>
          <w:rFonts w:cs="Arial"/>
        </w:rPr>
        <w:t>third</w:t>
      </w:r>
      <w:r w:rsidR="00585578" w:rsidRPr="00CA4E4C">
        <w:rPr>
          <w:rFonts w:cs="Arial"/>
        </w:rPr>
        <w:t>-</w:t>
      </w:r>
      <w:r w:rsidR="00980AB5" w:rsidRPr="00CA4E4C">
        <w:rPr>
          <w:rFonts w:cs="Arial"/>
        </w:rPr>
        <w:t xml:space="preserve">party </w:t>
      </w:r>
      <w:r w:rsidRPr="00CA4E4C">
        <w:rPr>
          <w:rFonts w:cs="Arial"/>
        </w:rPr>
        <w:t>implementer for this market.</w:t>
      </w:r>
    </w:p>
    <w:p w14:paraId="6779F97D" w14:textId="77777777" w:rsidR="00194235" w:rsidRPr="00CA4E4C" w:rsidRDefault="00194235" w:rsidP="008F5F98">
      <w:pPr>
        <w:rPr>
          <w:rFonts w:cs="Arial"/>
          <w:szCs w:val="22"/>
        </w:rPr>
      </w:pPr>
    </w:p>
    <w:p w14:paraId="4D651783" w14:textId="77777777" w:rsidR="003B62B5" w:rsidRPr="00CA4E4C" w:rsidRDefault="003B62B5" w:rsidP="005F7E7A">
      <w:pPr>
        <w:pStyle w:val="Heading2"/>
        <w:keepLines/>
        <w:rPr>
          <w:rFonts w:cs="Arial"/>
        </w:rPr>
      </w:pPr>
      <w:r w:rsidRPr="00CA4E4C">
        <w:rPr>
          <w:rFonts w:cs="Arial"/>
          <w:u w:val="none"/>
        </w:rPr>
        <w:t>E.</w:t>
      </w:r>
      <w:r w:rsidRPr="00CA4E4C">
        <w:rPr>
          <w:rFonts w:cs="Arial"/>
          <w:u w:val="none"/>
        </w:rPr>
        <w:tab/>
      </w:r>
      <w:r w:rsidRPr="00CA4E4C">
        <w:rPr>
          <w:rFonts w:cs="Arial"/>
        </w:rPr>
        <w:t>Public Sector</w:t>
      </w:r>
    </w:p>
    <w:p w14:paraId="3A43D408" w14:textId="77777777" w:rsidR="003B62B5" w:rsidRPr="00CA4E4C" w:rsidRDefault="003B62B5" w:rsidP="005F7E7A">
      <w:pPr>
        <w:keepNext/>
        <w:keepLines/>
        <w:rPr>
          <w:rFonts w:cs="Arial"/>
          <w:szCs w:val="22"/>
        </w:rPr>
      </w:pPr>
    </w:p>
    <w:p w14:paraId="74265542" w14:textId="3DEDAE9D" w:rsidR="00935C58" w:rsidRPr="00CA4E4C" w:rsidRDefault="00CC1FF1" w:rsidP="00AE72D0">
      <w:pPr>
        <w:jc w:val="both"/>
        <w:rPr>
          <w:rFonts w:cs="Arial"/>
        </w:rPr>
      </w:pPr>
      <w:r w:rsidRPr="00CA4E4C">
        <w:rPr>
          <w:rFonts w:cs="Arial"/>
        </w:rPr>
        <w:t>Incentive p</w:t>
      </w:r>
      <w:r w:rsidR="00935C58" w:rsidRPr="00CA4E4C">
        <w:rPr>
          <w:rFonts w:cs="Arial"/>
        </w:rPr>
        <w:t xml:space="preserve">rogram offerings </w:t>
      </w:r>
      <w:r w:rsidRPr="00CA4E4C">
        <w:rPr>
          <w:rFonts w:cs="Arial"/>
        </w:rPr>
        <w:t xml:space="preserve">originally classified as Commercial programs will continue to serve </w:t>
      </w:r>
      <w:r w:rsidR="00935C58" w:rsidRPr="00CA4E4C">
        <w:rPr>
          <w:rFonts w:cs="Arial"/>
        </w:rPr>
        <w:t xml:space="preserve">Public Sector customers </w:t>
      </w:r>
      <w:r w:rsidRPr="00CA4E4C">
        <w:rPr>
          <w:rFonts w:cs="Arial"/>
        </w:rPr>
        <w:t>as</w:t>
      </w:r>
      <w:r w:rsidR="00935C58" w:rsidRPr="00CA4E4C">
        <w:rPr>
          <w:rFonts w:cs="Arial"/>
        </w:rPr>
        <w:t xml:space="preserve"> status quo for 20</w:t>
      </w:r>
      <w:r w:rsidRPr="00CA4E4C">
        <w:rPr>
          <w:rFonts w:cs="Arial"/>
        </w:rPr>
        <w:t xml:space="preserve">20.  Local Government Partnerships are expected to continue under their current partnership contracts. </w:t>
      </w:r>
      <w:r w:rsidR="00935C58" w:rsidRPr="00CA4E4C">
        <w:rPr>
          <w:rFonts w:cs="Arial"/>
        </w:rPr>
        <w:t>Per the solicitation schedule</w:t>
      </w:r>
      <w:r w:rsidR="00AE72D0" w:rsidRPr="00CA4E4C">
        <w:rPr>
          <w:rFonts w:cs="Arial"/>
        </w:rPr>
        <w:t>,</w:t>
      </w:r>
      <w:r w:rsidR="00935C58" w:rsidRPr="00CA4E4C">
        <w:rPr>
          <w:rFonts w:cs="Arial"/>
        </w:rPr>
        <w:t xml:space="preserve"> </w:t>
      </w:r>
      <w:r w:rsidR="00663F78" w:rsidRPr="00CA4E4C">
        <w:rPr>
          <w:rFonts w:cs="Arial"/>
        </w:rPr>
        <w:t>SDG&amp;E</w:t>
      </w:r>
      <w:r w:rsidR="00935C58" w:rsidRPr="00CA4E4C">
        <w:rPr>
          <w:rFonts w:cs="Arial"/>
        </w:rPr>
        <w:t xml:space="preserve"> anticipate</w:t>
      </w:r>
      <w:r w:rsidR="00663F78" w:rsidRPr="00CA4E4C">
        <w:rPr>
          <w:rFonts w:cs="Arial"/>
        </w:rPr>
        <w:t>s</w:t>
      </w:r>
      <w:r w:rsidR="00935C58" w:rsidRPr="00CA4E4C">
        <w:rPr>
          <w:rFonts w:cs="Arial"/>
        </w:rPr>
        <w:t xml:space="preserve"> signing a contract</w:t>
      </w:r>
      <w:r w:rsidR="00C932E4" w:rsidRPr="00CA4E4C">
        <w:rPr>
          <w:rFonts w:cs="Arial"/>
        </w:rPr>
        <w:t>(s)</w:t>
      </w:r>
      <w:r w:rsidR="00935C58" w:rsidRPr="00CA4E4C">
        <w:rPr>
          <w:rFonts w:cs="Arial"/>
        </w:rPr>
        <w:t xml:space="preserve"> at the end of </w:t>
      </w:r>
      <w:r w:rsidR="00C932E4" w:rsidRPr="00CA4E4C">
        <w:rPr>
          <w:rFonts w:cs="Arial"/>
        </w:rPr>
        <w:t xml:space="preserve">2020 </w:t>
      </w:r>
      <w:r w:rsidR="00935C58" w:rsidRPr="00CA4E4C">
        <w:rPr>
          <w:rFonts w:cs="Arial"/>
        </w:rPr>
        <w:t>with implementer</w:t>
      </w:r>
      <w:r w:rsidR="00C932E4" w:rsidRPr="00CA4E4C">
        <w:rPr>
          <w:rFonts w:cs="Arial"/>
        </w:rPr>
        <w:t>(s)</w:t>
      </w:r>
      <w:r w:rsidR="00935C58" w:rsidRPr="00CA4E4C">
        <w:rPr>
          <w:rFonts w:cs="Arial"/>
        </w:rPr>
        <w:t xml:space="preserve"> for </w:t>
      </w:r>
      <w:r w:rsidR="006B2183" w:rsidRPr="00CA4E4C">
        <w:rPr>
          <w:rFonts w:cs="Arial"/>
        </w:rPr>
        <w:t>federal, K-12 and local government</w:t>
      </w:r>
      <w:r w:rsidR="00935C58" w:rsidRPr="00CA4E4C">
        <w:rPr>
          <w:rFonts w:cs="Arial"/>
        </w:rPr>
        <w:t xml:space="preserve"> market</w:t>
      </w:r>
      <w:r w:rsidR="006B2183" w:rsidRPr="00CA4E4C">
        <w:rPr>
          <w:rFonts w:cs="Arial"/>
        </w:rPr>
        <w:t>s</w:t>
      </w:r>
      <w:r w:rsidR="00935C58" w:rsidRPr="00CA4E4C">
        <w:rPr>
          <w:rFonts w:cs="Arial"/>
        </w:rPr>
        <w:t>.</w:t>
      </w:r>
    </w:p>
    <w:p w14:paraId="7DA1B4B1" w14:textId="77777777" w:rsidR="00663F78" w:rsidRPr="00CA4E4C" w:rsidRDefault="00663F78" w:rsidP="00AE72D0">
      <w:pPr>
        <w:jc w:val="both"/>
        <w:rPr>
          <w:rFonts w:cs="Arial"/>
        </w:rPr>
      </w:pPr>
    </w:p>
    <w:p w14:paraId="720062A6" w14:textId="6584A0B3" w:rsidR="00663F78" w:rsidRPr="00CA4E4C" w:rsidRDefault="00663F78" w:rsidP="00CC1FF1">
      <w:pPr>
        <w:jc w:val="both"/>
        <w:rPr>
          <w:rFonts w:cs="Arial"/>
        </w:rPr>
      </w:pPr>
      <w:r w:rsidRPr="00CA4E4C">
        <w:rPr>
          <w:rFonts w:cs="Arial"/>
        </w:rPr>
        <w:lastRenderedPageBreak/>
        <w:t>SDG&amp;E will participate in the statewide procurement and deployment of the Energy Atlas as directed by D.18-05-041</w:t>
      </w:r>
      <w:r w:rsidR="00AE72D0" w:rsidRPr="00CA4E4C">
        <w:rPr>
          <w:rFonts w:cs="Arial"/>
        </w:rPr>
        <w:t>,</w:t>
      </w:r>
      <w:r w:rsidRPr="00CA4E4C">
        <w:rPr>
          <w:rFonts w:cs="Arial"/>
        </w:rPr>
        <w:t xml:space="preserve"> OP 32</w:t>
      </w:r>
      <w:r w:rsidR="00CC1FF1" w:rsidRPr="00CA4E4C">
        <w:rPr>
          <w:rFonts w:cs="Arial"/>
        </w:rPr>
        <w:t>.  This solicitation is administered by Southern California Edison Company.</w:t>
      </w:r>
    </w:p>
    <w:p w14:paraId="13D5702B" w14:textId="77777777" w:rsidR="00080499" w:rsidRPr="00CA4E4C" w:rsidRDefault="00080499" w:rsidP="00AE72D0">
      <w:pPr>
        <w:ind w:left="360" w:right="720"/>
        <w:jc w:val="both"/>
        <w:rPr>
          <w:rFonts w:cs="Arial"/>
        </w:rPr>
      </w:pPr>
    </w:p>
    <w:p w14:paraId="7E3CF0D1" w14:textId="77777777" w:rsidR="003B62B5" w:rsidRPr="00CA4E4C" w:rsidRDefault="001E2D64" w:rsidP="00F560C5">
      <w:pPr>
        <w:pStyle w:val="Heading2"/>
        <w:rPr>
          <w:rFonts w:cs="Arial"/>
        </w:rPr>
      </w:pPr>
      <w:r w:rsidRPr="00CA4E4C">
        <w:rPr>
          <w:rFonts w:cs="Arial"/>
          <w:u w:val="none"/>
        </w:rPr>
        <w:t>F.</w:t>
      </w:r>
      <w:r w:rsidRPr="00CA4E4C">
        <w:rPr>
          <w:rFonts w:cs="Arial"/>
          <w:u w:val="none"/>
        </w:rPr>
        <w:tab/>
      </w:r>
      <w:r w:rsidR="00F560C5" w:rsidRPr="00CA4E4C">
        <w:rPr>
          <w:rFonts w:cs="Arial"/>
        </w:rPr>
        <w:t>Workforce Education &amp; Training (WE&amp;T)</w:t>
      </w:r>
    </w:p>
    <w:p w14:paraId="02EF81E8" w14:textId="77777777" w:rsidR="00DE1776" w:rsidRPr="00CA4E4C" w:rsidRDefault="00DE1776" w:rsidP="00DE1776">
      <w:pPr>
        <w:rPr>
          <w:rFonts w:cs="Arial"/>
        </w:rPr>
      </w:pPr>
    </w:p>
    <w:p w14:paraId="4BB33496" w14:textId="0E0D6089" w:rsidR="00696368" w:rsidRPr="00CA4E4C" w:rsidRDefault="00696368" w:rsidP="2D261A83">
      <w:pPr>
        <w:jc w:val="both"/>
        <w:rPr>
          <w:rFonts w:cs="Arial"/>
        </w:rPr>
      </w:pPr>
      <w:r w:rsidRPr="00CA4E4C">
        <w:rPr>
          <w:rFonts w:cs="Arial"/>
        </w:rPr>
        <w:t xml:space="preserve">SDG&amp;E will continue to manage </w:t>
      </w:r>
      <w:r w:rsidR="00AD5E04" w:rsidRPr="00CA4E4C">
        <w:rPr>
          <w:rFonts w:cs="Arial"/>
        </w:rPr>
        <w:t>the Integrated Energy Education &amp; Training</w:t>
      </w:r>
      <w:r w:rsidR="003D4B01" w:rsidRPr="00CA4E4C">
        <w:rPr>
          <w:rFonts w:cs="Arial"/>
        </w:rPr>
        <w:t xml:space="preserve"> program components</w:t>
      </w:r>
      <w:r w:rsidR="008B7D28" w:rsidRPr="00CA4E4C">
        <w:rPr>
          <w:rFonts w:cs="Arial"/>
        </w:rPr>
        <w:t xml:space="preserve"> </w:t>
      </w:r>
      <w:r w:rsidR="00D57B0E" w:rsidRPr="00CA4E4C">
        <w:rPr>
          <w:rFonts w:cs="Arial"/>
        </w:rPr>
        <w:t xml:space="preserve">of WE&amp;T, including </w:t>
      </w:r>
      <w:r w:rsidRPr="00CA4E4C">
        <w:rPr>
          <w:rFonts w:cs="Arial"/>
        </w:rPr>
        <w:t>Technical Upskill and the newly developed Core Energy Educatio</w:t>
      </w:r>
      <w:r w:rsidR="008B7D28" w:rsidRPr="00CA4E4C">
        <w:rPr>
          <w:rFonts w:cs="Arial"/>
        </w:rPr>
        <w:t>n</w:t>
      </w:r>
      <w:r w:rsidR="009647B0" w:rsidRPr="00CA4E4C">
        <w:rPr>
          <w:rFonts w:cs="Arial"/>
        </w:rPr>
        <w:t xml:space="preserve"> program</w:t>
      </w:r>
      <w:r w:rsidR="00583516" w:rsidRPr="00CA4E4C">
        <w:rPr>
          <w:rFonts w:cs="Arial"/>
        </w:rPr>
        <w:t xml:space="preserve">, </w:t>
      </w:r>
      <w:r w:rsidR="004F411B" w:rsidRPr="00CA4E4C">
        <w:rPr>
          <w:rFonts w:cs="Arial"/>
        </w:rPr>
        <w:t>through collaboration with local organizations that support different aspects of the program</w:t>
      </w:r>
      <w:r w:rsidRPr="00CA4E4C">
        <w:rPr>
          <w:rFonts w:cs="Arial"/>
        </w:rPr>
        <w:t xml:space="preserve">. In addition, staff will </w:t>
      </w:r>
      <w:r w:rsidR="008B591F" w:rsidRPr="00CA4E4C">
        <w:rPr>
          <w:rFonts w:cs="Arial"/>
        </w:rPr>
        <w:t xml:space="preserve">continue to </w:t>
      </w:r>
      <w:r w:rsidRPr="00CA4E4C">
        <w:rPr>
          <w:rFonts w:cs="Arial"/>
        </w:rPr>
        <w:t>support the statewide efforts of Career Connections and Career &amp; Workforce Readiness programs</w:t>
      </w:r>
      <w:r w:rsidR="00BA24BB" w:rsidRPr="00CA4E4C">
        <w:rPr>
          <w:rFonts w:cs="Arial"/>
        </w:rPr>
        <w:t>.</w:t>
      </w:r>
    </w:p>
    <w:p w14:paraId="3F68C4D4" w14:textId="77777777" w:rsidR="001E2D64" w:rsidRPr="00CA4E4C" w:rsidRDefault="001E2D64" w:rsidP="00F976AC">
      <w:pPr>
        <w:pStyle w:val="Heading2"/>
        <w:keepLines/>
        <w:rPr>
          <w:rFonts w:cs="Arial"/>
        </w:rPr>
      </w:pPr>
    </w:p>
    <w:p w14:paraId="3153DD45" w14:textId="77777777" w:rsidR="001E2D64" w:rsidRPr="00CA4E4C" w:rsidRDefault="001E2D64" w:rsidP="00F976AC">
      <w:pPr>
        <w:pStyle w:val="Heading2"/>
        <w:keepLines/>
        <w:rPr>
          <w:rFonts w:cs="Arial"/>
        </w:rPr>
      </w:pPr>
      <w:r w:rsidRPr="00CA4E4C">
        <w:rPr>
          <w:rFonts w:cs="Arial"/>
          <w:u w:val="none"/>
        </w:rPr>
        <w:t>G.</w:t>
      </w:r>
      <w:r w:rsidRPr="00CA4E4C">
        <w:rPr>
          <w:rFonts w:cs="Arial"/>
          <w:u w:val="none"/>
        </w:rPr>
        <w:tab/>
      </w:r>
      <w:r w:rsidRPr="00CA4E4C">
        <w:rPr>
          <w:rFonts w:cs="Arial"/>
        </w:rPr>
        <w:t>Financing Programs</w:t>
      </w:r>
    </w:p>
    <w:p w14:paraId="795C7B40" w14:textId="77777777" w:rsidR="001E2D64" w:rsidRPr="00CA4E4C" w:rsidRDefault="001E2D64" w:rsidP="00F976AC">
      <w:pPr>
        <w:keepNext/>
        <w:keepLines/>
        <w:rPr>
          <w:rFonts w:cs="Arial"/>
        </w:rPr>
      </w:pPr>
    </w:p>
    <w:p w14:paraId="6BF1489F" w14:textId="40D8A3FD" w:rsidR="00AE72D0" w:rsidRPr="00CA4E4C" w:rsidRDefault="001E2D64" w:rsidP="00F976AC">
      <w:pPr>
        <w:pStyle w:val="Heading3"/>
        <w:keepLines/>
        <w:rPr>
          <w:rFonts w:cs="Arial"/>
        </w:rPr>
      </w:pPr>
      <w:r w:rsidRPr="00CA4E4C">
        <w:rPr>
          <w:rFonts w:cs="Arial"/>
        </w:rPr>
        <w:t>1.</w:t>
      </w:r>
      <w:r w:rsidRPr="00CA4E4C">
        <w:rPr>
          <w:rFonts w:cs="Arial"/>
        </w:rPr>
        <w:tab/>
      </w:r>
      <w:r w:rsidR="00335C77" w:rsidRPr="00CA4E4C">
        <w:rPr>
          <w:rFonts w:cs="Arial"/>
        </w:rPr>
        <w:t>On-Bill Financing</w:t>
      </w:r>
      <w:r w:rsidR="00CE6467" w:rsidRPr="00CA4E4C">
        <w:rPr>
          <w:rFonts w:cs="Arial"/>
        </w:rPr>
        <w:t xml:space="preserve"> </w:t>
      </w:r>
      <w:r w:rsidR="00726A9D" w:rsidRPr="00CA4E4C">
        <w:rPr>
          <w:rFonts w:cs="Arial"/>
        </w:rPr>
        <w:t>Program</w:t>
      </w:r>
    </w:p>
    <w:p w14:paraId="227BFE10" w14:textId="77777777" w:rsidR="00606D37" w:rsidRPr="00CA4E4C" w:rsidRDefault="00335C77" w:rsidP="00F976AC">
      <w:pPr>
        <w:pStyle w:val="Heading3"/>
        <w:keepLines/>
        <w:rPr>
          <w:rFonts w:cs="Arial"/>
        </w:rPr>
      </w:pPr>
      <w:r w:rsidRPr="00CA4E4C">
        <w:rPr>
          <w:rFonts w:cs="Arial"/>
        </w:rPr>
        <w:t xml:space="preserve"> </w:t>
      </w:r>
    </w:p>
    <w:p w14:paraId="09CE80DC" w14:textId="77777777" w:rsidR="00606D37" w:rsidRPr="00CA4E4C" w:rsidRDefault="007F6833" w:rsidP="00AE72D0">
      <w:pPr>
        <w:jc w:val="both"/>
        <w:rPr>
          <w:rFonts w:cs="Arial"/>
        </w:rPr>
      </w:pPr>
      <w:r w:rsidRPr="00CA4E4C">
        <w:rPr>
          <w:rFonts w:cs="Arial"/>
        </w:rPr>
        <w:t xml:space="preserve">OBF is a local program run by SDG&amp;E.  SDG&amp;E will </w:t>
      </w:r>
      <w:r w:rsidR="00A91089" w:rsidRPr="00CA4E4C">
        <w:rPr>
          <w:rFonts w:cs="Arial"/>
        </w:rPr>
        <w:t>continue to increase program awareness with</w:t>
      </w:r>
      <w:r w:rsidRPr="00CA4E4C">
        <w:rPr>
          <w:rFonts w:cs="Arial"/>
        </w:rPr>
        <w:t xml:space="preserve"> third-party </w:t>
      </w:r>
      <w:r w:rsidR="00C478A4" w:rsidRPr="00CA4E4C">
        <w:rPr>
          <w:rFonts w:cs="Arial"/>
        </w:rPr>
        <w:t>implementers and</w:t>
      </w:r>
      <w:r w:rsidRPr="00CA4E4C">
        <w:rPr>
          <w:rFonts w:cs="Arial"/>
        </w:rPr>
        <w:t xml:space="preserve"> make OBF available to qualified program participants.</w:t>
      </w:r>
    </w:p>
    <w:p w14:paraId="5232319E" w14:textId="77777777" w:rsidR="00CE6467" w:rsidRPr="00CA4E4C" w:rsidRDefault="00CE6467" w:rsidP="00CE6467">
      <w:pPr>
        <w:rPr>
          <w:rFonts w:cs="Arial"/>
        </w:rPr>
      </w:pPr>
    </w:p>
    <w:p w14:paraId="6AA64EFD" w14:textId="77777777" w:rsidR="00606D37" w:rsidRPr="00CA4E4C" w:rsidRDefault="001E2D64" w:rsidP="001E2D64">
      <w:pPr>
        <w:pStyle w:val="Heading3"/>
        <w:rPr>
          <w:rFonts w:cs="Arial"/>
        </w:rPr>
      </w:pPr>
      <w:r w:rsidRPr="00CA4E4C">
        <w:rPr>
          <w:rFonts w:cs="Arial"/>
        </w:rPr>
        <w:t>2.</w:t>
      </w:r>
      <w:r w:rsidRPr="00CA4E4C">
        <w:rPr>
          <w:rFonts w:cs="Arial"/>
        </w:rPr>
        <w:tab/>
      </w:r>
      <w:r w:rsidR="00335C77" w:rsidRPr="00CA4E4C">
        <w:rPr>
          <w:rFonts w:cs="Arial"/>
        </w:rPr>
        <w:t>Statewide Financing Pilots</w:t>
      </w:r>
    </w:p>
    <w:p w14:paraId="093142E3" w14:textId="77777777" w:rsidR="00AE72D0" w:rsidRPr="00CA4E4C" w:rsidRDefault="00AE72D0" w:rsidP="00AE72D0">
      <w:pPr>
        <w:rPr>
          <w:rFonts w:cs="Arial"/>
        </w:rPr>
      </w:pPr>
    </w:p>
    <w:p w14:paraId="41DFC56C" w14:textId="45F6DE9A" w:rsidR="00606D37" w:rsidRPr="00CA4E4C" w:rsidRDefault="00CE6467" w:rsidP="00AE72D0">
      <w:pPr>
        <w:jc w:val="both"/>
        <w:rPr>
          <w:rFonts w:cs="Arial"/>
        </w:rPr>
      </w:pPr>
      <w:r w:rsidRPr="00CA4E4C">
        <w:rPr>
          <w:rFonts w:cs="Arial"/>
        </w:rPr>
        <w:t xml:space="preserve">These Financing </w:t>
      </w:r>
      <w:r w:rsidR="00335C77" w:rsidRPr="00CA4E4C">
        <w:rPr>
          <w:rFonts w:cs="Arial"/>
        </w:rPr>
        <w:t xml:space="preserve">Pilots </w:t>
      </w:r>
      <w:r w:rsidR="0026737C" w:rsidRPr="00CA4E4C">
        <w:rPr>
          <w:rFonts w:cs="Arial"/>
        </w:rPr>
        <w:t xml:space="preserve">remain within </w:t>
      </w:r>
      <w:r w:rsidR="00335C77" w:rsidRPr="00CA4E4C">
        <w:rPr>
          <w:rFonts w:cs="Arial"/>
        </w:rPr>
        <w:t>the 2013-2014 EE program cycle</w:t>
      </w:r>
      <w:r w:rsidR="00A61BFA" w:rsidRPr="00CA4E4C">
        <w:rPr>
          <w:rFonts w:cs="Arial"/>
        </w:rPr>
        <w:t xml:space="preserve">.  These pilots are budgeted and tracked </w:t>
      </w:r>
      <w:r w:rsidRPr="00CA4E4C">
        <w:rPr>
          <w:rFonts w:cs="Arial"/>
        </w:rPr>
        <w:t xml:space="preserve">accordingly and therefore no 2019 budget allocation for these pilots </w:t>
      </w:r>
      <w:r w:rsidR="003B2C5A" w:rsidRPr="00CA4E4C">
        <w:rPr>
          <w:rFonts w:cs="Arial"/>
        </w:rPr>
        <w:t xml:space="preserve">is </w:t>
      </w:r>
      <w:r w:rsidRPr="00CA4E4C">
        <w:rPr>
          <w:rFonts w:cs="Arial"/>
        </w:rPr>
        <w:t>required at this time</w:t>
      </w:r>
      <w:r w:rsidR="00A61BFA" w:rsidRPr="00CA4E4C">
        <w:rPr>
          <w:rFonts w:cs="Arial"/>
        </w:rPr>
        <w:t>.</w:t>
      </w:r>
      <w:r w:rsidRPr="00CA4E4C">
        <w:rPr>
          <w:rFonts w:cs="Arial"/>
        </w:rPr>
        <w:t xml:space="preserve">  </w:t>
      </w:r>
      <w:r w:rsidR="00335C77" w:rsidRPr="00CA4E4C">
        <w:rPr>
          <w:rFonts w:cs="Arial"/>
        </w:rPr>
        <w:t xml:space="preserve">These pilots will be promoted within SDG&amp;E’s portfolio </w:t>
      </w:r>
      <w:r w:rsidRPr="00CA4E4C">
        <w:rPr>
          <w:rFonts w:cs="Arial"/>
        </w:rPr>
        <w:t>and with new third</w:t>
      </w:r>
      <w:r w:rsidR="00B511AD" w:rsidRPr="00CA4E4C">
        <w:rPr>
          <w:rFonts w:cs="Arial"/>
        </w:rPr>
        <w:t>-</w:t>
      </w:r>
      <w:r w:rsidRPr="00CA4E4C">
        <w:rPr>
          <w:rFonts w:cs="Arial"/>
        </w:rPr>
        <w:t xml:space="preserve">party implementers </w:t>
      </w:r>
      <w:r w:rsidR="00335C77" w:rsidRPr="00CA4E4C">
        <w:rPr>
          <w:rFonts w:cs="Arial"/>
        </w:rPr>
        <w:t>as applicable.</w:t>
      </w:r>
    </w:p>
    <w:p w14:paraId="40A59A99" w14:textId="77777777" w:rsidR="001E2D64" w:rsidRPr="00CA4E4C" w:rsidRDefault="001E2D64" w:rsidP="001E2D64">
      <w:pPr>
        <w:rPr>
          <w:rFonts w:cs="Arial"/>
          <w:szCs w:val="22"/>
        </w:rPr>
      </w:pPr>
    </w:p>
    <w:p w14:paraId="2C28BBAC" w14:textId="77777777" w:rsidR="001E2D64" w:rsidRPr="00CA4E4C" w:rsidRDefault="00F9246A" w:rsidP="001E2D64">
      <w:pPr>
        <w:pStyle w:val="Heading2"/>
        <w:rPr>
          <w:rFonts w:cs="Arial"/>
        </w:rPr>
      </w:pPr>
      <w:r w:rsidRPr="00CA4E4C">
        <w:rPr>
          <w:rFonts w:cs="Arial"/>
          <w:u w:val="none"/>
        </w:rPr>
        <w:t>H.</w:t>
      </w:r>
      <w:r w:rsidRPr="00CA4E4C">
        <w:rPr>
          <w:rFonts w:cs="Arial"/>
          <w:u w:val="none"/>
        </w:rPr>
        <w:tab/>
      </w:r>
      <w:r w:rsidR="001E2D64" w:rsidRPr="00CA4E4C">
        <w:rPr>
          <w:rFonts w:cs="Arial"/>
        </w:rPr>
        <w:t>Integrated Demand Side Management</w:t>
      </w:r>
      <w:r w:rsidR="00AE72D0" w:rsidRPr="00CA4E4C">
        <w:rPr>
          <w:rFonts w:cs="Arial"/>
        </w:rPr>
        <w:t xml:space="preserve"> (IDSM)</w:t>
      </w:r>
      <w:r w:rsidR="001E2D64" w:rsidRPr="00CA4E4C">
        <w:rPr>
          <w:rFonts w:cs="Arial"/>
        </w:rPr>
        <w:t xml:space="preserve"> Programs</w:t>
      </w:r>
    </w:p>
    <w:p w14:paraId="31B47207" w14:textId="77777777" w:rsidR="001E2D64" w:rsidRPr="00CA4E4C" w:rsidRDefault="001E2D64" w:rsidP="001E2D64">
      <w:pPr>
        <w:rPr>
          <w:rFonts w:cs="Arial"/>
          <w:szCs w:val="22"/>
        </w:rPr>
      </w:pPr>
    </w:p>
    <w:p w14:paraId="72874763" w14:textId="77777777" w:rsidR="00606D37" w:rsidRPr="00CA4E4C" w:rsidRDefault="00335C77" w:rsidP="00AC6AD1">
      <w:pPr>
        <w:jc w:val="both"/>
        <w:rPr>
          <w:rFonts w:cs="Arial"/>
          <w:szCs w:val="22"/>
        </w:rPr>
      </w:pPr>
      <w:r w:rsidRPr="00CA4E4C">
        <w:rPr>
          <w:rFonts w:cs="Arial"/>
        </w:rPr>
        <w:t xml:space="preserve">SDG&amp;E’s IDSM program </w:t>
      </w:r>
      <w:r w:rsidR="00A05793" w:rsidRPr="00CA4E4C">
        <w:rPr>
          <w:rFonts w:cs="Arial"/>
        </w:rPr>
        <w:t xml:space="preserve">is </w:t>
      </w:r>
      <w:r w:rsidRPr="00CA4E4C">
        <w:rPr>
          <w:rFonts w:cs="Arial"/>
        </w:rPr>
        <w:t xml:space="preserve">funded through </w:t>
      </w:r>
      <w:r w:rsidR="00A05793" w:rsidRPr="00CA4E4C">
        <w:rPr>
          <w:rFonts w:cs="Arial"/>
        </w:rPr>
        <w:t xml:space="preserve">the </w:t>
      </w:r>
      <w:r w:rsidRPr="00CA4E4C">
        <w:rPr>
          <w:rFonts w:cs="Arial"/>
        </w:rPr>
        <w:t>IDSM Demand Response and EE portfolio.</w:t>
      </w:r>
      <w:r w:rsidR="00F86200" w:rsidRPr="00CA4E4C">
        <w:rPr>
          <w:rFonts w:cs="Arial"/>
        </w:rPr>
        <w:t xml:space="preserve">  </w:t>
      </w:r>
      <w:r w:rsidRPr="00CA4E4C">
        <w:rPr>
          <w:rFonts w:cs="Arial"/>
          <w:szCs w:val="22"/>
        </w:rPr>
        <w:t>SDG&amp;E’s approved IDSM DR budget is $4.640 million</w:t>
      </w:r>
      <w:r w:rsidR="00F86200" w:rsidRPr="00CA4E4C">
        <w:rPr>
          <w:rFonts w:cs="Arial"/>
          <w:szCs w:val="22"/>
        </w:rPr>
        <w:t xml:space="preserve">.  D.18-05-041 requires the following for IDSM </w:t>
      </w:r>
      <w:r w:rsidR="000E62F2" w:rsidRPr="00CA4E4C">
        <w:rPr>
          <w:rFonts w:cs="Arial"/>
          <w:szCs w:val="22"/>
        </w:rPr>
        <w:t>efforts</w:t>
      </w:r>
      <w:r w:rsidR="00F86200" w:rsidRPr="00CA4E4C">
        <w:rPr>
          <w:rFonts w:cs="Arial"/>
          <w:szCs w:val="22"/>
        </w:rPr>
        <w:t xml:space="preserve">: </w:t>
      </w:r>
    </w:p>
    <w:p w14:paraId="4ACAA0CB" w14:textId="77777777" w:rsidR="00F86200" w:rsidRPr="00CA4E4C" w:rsidRDefault="00F86200" w:rsidP="00AC6AD1">
      <w:pPr>
        <w:rPr>
          <w:rFonts w:cs="Arial"/>
          <w:szCs w:val="22"/>
        </w:rPr>
      </w:pPr>
    </w:p>
    <w:p w14:paraId="5A876117" w14:textId="77777777" w:rsidR="00606D37" w:rsidRPr="00CA4E4C" w:rsidRDefault="00335C77" w:rsidP="00AC6AD1">
      <w:pPr>
        <w:pStyle w:val="ListParagraph"/>
        <w:numPr>
          <w:ilvl w:val="0"/>
          <w:numId w:val="2"/>
        </w:numPr>
        <w:spacing w:after="0" w:line="240" w:lineRule="auto"/>
        <w:jc w:val="both"/>
        <w:rPr>
          <w:rFonts w:cs="Arial"/>
        </w:rPr>
      </w:pPr>
      <w:r w:rsidRPr="00CA4E4C">
        <w:rPr>
          <w:rFonts w:cs="Arial"/>
        </w:rPr>
        <w:t>For the residential sector, the energy efficiency and demand response integration efforts should be focused, initially, on HVAC technologies and facilitating automatic response to new time-varying rates, possibly involving customer education on the rates and thermostats. Each IOU shall budget a minimum of $1,000,000 annually from its IDSM budget, to test and deploy such strategies in the residential sector.</w:t>
      </w:r>
    </w:p>
    <w:p w14:paraId="16A484ED" w14:textId="77777777" w:rsidR="00606D37" w:rsidRPr="00CA4E4C" w:rsidRDefault="00335C77" w:rsidP="00AC6AD1">
      <w:pPr>
        <w:pStyle w:val="ListParagraph"/>
        <w:numPr>
          <w:ilvl w:val="0"/>
          <w:numId w:val="2"/>
        </w:numPr>
        <w:spacing w:after="0" w:line="240" w:lineRule="auto"/>
        <w:jc w:val="both"/>
        <w:rPr>
          <w:rFonts w:cs="Arial"/>
        </w:rPr>
      </w:pPr>
      <w:r w:rsidRPr="00CA4E4C">
        <w:rPr>
          <w:rFonts w:cs="Arial"/>
        </w:rPr>
        <w:t>For the non-residential sector, including small commercial customers, the energy efficiency and demand response integration efforts should be focused initially on HVAC and lighting controls. At least $20 million annually in IDSM funds shall be divided among the IOU PAs.</w:t>
      </w:r>
    </w:p>
    <w:p w14:paraId="408C3C35" w14:textId="77777777" w:rsidR="00606D37" w:rsidRPr="00CA4E4C" w:rsidRDefault="00335C77" w:rsidP="00AC6AD1">
      <w:pPr>
        <w:pStyle w:val="ListParagraph"/>
        <w:numPr>
          <w:ilvl w:val="0"/>
          <w:numId w:val="2"/>
        </w:numPr>
        <w:spacing w:after="0" w:line="240" w:lineRule="auto"/>
        <w:rPr>
          <w:rFonts w:cs="Arial"/>
        </w:rPr>
      </w:pPr>
      <w:r w:rsidRPr="00CA4E4C">
        <w:rPr>
          <w:rFonts w:cs="Arial"/>
        </w:rPr>
        <w:t>Ensure participating customers are enrolled in a DR program.</w:t>
      </w:r>
    </w:p>
    <w:p w14:paraId="5EEE9B5D" w14:textId="77777777" w:rsidR="00F31BD4" w:rsidRPr="00CA4E4C" w:rsidRDefault="00F31BD4" w:rsidP="00AC6AD1">
      <w:pPr>
        <w:jc w:val="both"/>
        <w:rPr>
          <w:rFonts w:cs="Arial"/>
        </w:rPr>
      </w:pPr>
    </w:p>
    <w:p w14:paraId="116DEEB3" w14:textId="0440C582" w:rsidR="001A049E" w:rsidRPr="00CA4E4C" w:rsidRDefault="000E62F2" w:rsidP="006B2183">
      <w:pPr>
        <w:jc w:val="both"/>
        <w:rPr>
          <w:rFonts w:cs="Arial"/>
        </w:rPr>
      </w:pPr>
      <w:r w:rsidRPr="00CA4E4C">
        <w:rPr>
          <w:rFonts w:cs="Arial"/>
        </w:rPr>
        <w:t xml:space="preserve">These </w:t>
      </w:r>
      <w:r w:rsidR="00335C77" w:rsidRPr="00CA4E4C">
        <w:rPr>
          <w:rFonts w:cs="Arial"/>
        </w:rPr>
        <w:t xml:space="preserve">IDSM </w:t>
      </w:r>
      <w:r w:rsidRPr="00CA4E4C">
        <w:rPr>
          <w:rFonts w:cs="Arial"/>
        </w:rPr>
        <w:t xml:space="preserve">requirements </w:t>
      </w:r>
      <w:r w:rsidR="00335C77" w:rsidRPr="00CA4E4C">
        <w:rPr>
          <w:rFonts w:cs="Arial"/>
        </w:rPr>
        <w:t>will be incorporated with</w:t>
      </w:r>
      <w:r w:rsidRPr="00CA4E4C">
        <w:rPr>
          <w:rFonts w:cs="Arial"/>
        </w:rPr>
        <w:t xml:space="preserve">in the </w:t>
      </w:r>
      <w:r w:rsidR="00335C77" w:rsidRPr="00CA4E4C">
        <w:rPr>
          <w:rFonts w:cs="Arial"/>
        </w:rPr>
        <w:t>Residential and Commercial</w:t>
      </w:r>
      <w:r w:rsidR="00A05793" w:rsidRPr="00CA4E4C">
        <w:rPr>
          <w:rFonts w:cs="Arial"/>
        </w:rPr>
        <w:t xml:space="preserve"> sectors</w:t>
      </w:r>
      <w:r w:rsidR="00834768" w:rsidRPr="00CA4E4C">
        <w:rPr>
          <w:rFonts w:cs="Arial"/>
        </w:rPr>
        <w:t xml:space="preserve"> </w:t>
      </w:r>
      <w:r w:rsidR="00335C77" w:rsidRPr="00CA4E4C">
        <w:rPr>
          <w:rFonts w:cs="Arial"/>
        </w:rPr>
        <w:t xml:space="preserve">and </w:t>
      </w:r>
      <w:r w:rsidR="0091384A" w:rsidRPr="00CA4E4C">
        <w:rPr>
          <w:rFonts w:cs="Arial"/>
        </w:rPr>
        <w:t>have been</w:t>
      </w:r>
      <w:r w:rsidR="00335C77" w:rsidRPr="00CA4E4C">
        <w:rPr>
          <w:rFonts w:cs="Arial"/>
        </w:rPr>
        <w:t xml:space="preserve"> included in </w:t>
      </w:r>
      <w:r w:rsidR="00A414D6" w:rsidRPr="00CA4E4C">
        <w:rPr>
          <w:rFonts w:cs="Arial"/>
        </w:rPr>
        <w:t xml:space="preserve">all active </w:t>
      </w:r>
      <w:r w:rsidR="00335C77" w:rsidRPr="00CA4E4C">
        <w:rPr>
          <w:rFonts w:cs="Arial"/>
        </w:rPr>
        <w:t>solicitations for these sectors</w:t>
      </w:r>
      <w:r w:rsidR="006B2183" w:rsidRPr="00CA4E4C">
        <w:rPr>
          <w:rFonts w:cs="Arial"/>
        </w:rPr>
        <w:t xml:space="preserve"> in 2020</w:t>
      </w:r>
      <w:r w:rsidR="00335C77" w:rsidRPr="00CA4E4C">
        <w:rPr>
          <w:rFonts w:cs="Arial"/>
        </w:rPr>
        <w:t>.</w:t>
      </w:r>
      <w:r w:rsidRPr="00CA4E4C">
        <w:rPr>
          <w:rFonts w:cs="Arial"/>
        </w:rPr>
        <w:t xml:space="preserve">  </w:t>
      </w:r>
    </w:p>
    <w:p w14:paraId="24005C50" w14:textId="77777777" w:rsidR="006B2183" w:rsidRPr="00CA4E4C" w:rsidRDefault="006B2183" w:rsidP="006B2183">
      <w:pPr>
        <w:jc w:val="both"/>
        <w:rPr>
          <w:rFonts w:cs="Arial"/>
        </w:rPr>
      </w:pPr>
    </w:p>
    <w:p w14:paraId="416B1322" w14:textId="13329F5B" w:rsidR="001A049E" w:rsidRPr="00CA4E4C" w:rsidRDefault="001A049E" w:rsidP="00726A9D">
      <w:pPr>
        <w:jc w:val="both"/>
        <w:rPr>
          <w:rFonts w:cs="Arial"/>
        </w:rPr>
      </w:pPr>
      <w:r w:rsidRPr="00CA4E4C">
        <w:rPr>
          <w:rFonts w:cs="Arial"/>
        </w:rPr>
        <w:t>Integrated energy efficiency and demand response outreach and education activities funded by IDSM and supported by SDG&amp;E’s local Outreach teams will continue in 20</w:t>
      </w:r>
      <w:r w:rsidR="006B2183" w:rsidRPr="00CA4E4C">
        <w:rPr>
          <w:rFonts w:cs="Arial"/>
        </w:rPr>
        <w:t>20</w:t>
      </w:r>
      <w:r w:rsidRPr="00CA4E4C">
        <w:rPr>
          <w:rFonts w:cs="Arial"/>
        </w:rPr>
        <w:t xml:space="preserve"> </w:t>
      </w:r>
      <w:r w:rsidR="00526D91" w:rsidRPr="00CA4E4C">
        <w:rPr>
          <w:rFonts w:cs="Arial"/>
        </w:rPr>
        <w:t>through</w:t>
      </w:r>
      <w:r w:rsidRPr="00CA4E4C">
        <w:rPr>
          <w:rFonts w:cs="Arial"/>
        </w:rPr>
        <w:t xml:space="preserve"> community events, </w:t>
      </w:r>
      <w:r w:rsidR="00286362" w:rsidRPr="00CA4E4C">
        <w:rPr>
          <w:rFonts w:cs="Arial"/>
        </w:rPr>
        <w:t>presentations, workshops</w:t>
      </w:r>
      <w:r w:rsidRPr="00CA4E4C">
        <w:rPr>
          <w:rFonts w:cs="Arial"/>
        </w:rPr>
        <w:t xml:space="preserve">, and energy solutions partnerships with local community organizations. In addition to these activities, outreach and education will also be provided in </w:t>
      </w:r>
      <w:r w:rsidRPr="00CA4E4C">
        <w:rPr>
          <w:rFonts w:cs="Arial"/>
        </w:rPr>
        <w:lastRenderedPageBreak/>
        <w:t xml:space="preserve">support of the Commission requirements for IDSM, along with the residential IDSM-TOU optimization discussed </w:t>
      </w:r>
      <w:r w:rsidR="00BF4BC5" w:rsidRPr="00CA4E4C">
        <w:rPr>
          <w:rFonts w:cs="Arial"/>
        </w:rPr>
        <w:t>above</w:t>
      </w:r>
      <w:r w:rsidRPr="00CA4E4C">
        <w:rPr>
          <w:rFonts w:cs="Arial"/>
        </w:rPr>
        <w:t>.</w:t>
      </w:r>
    </w:p>
    <w:p w14:paraId="43C9CB7B" w14:textId="77777777" w:rsidR="00080499" w:rsidRPr="00CA4E4C" w:rsidRDefault="00080499" w:rsidP="00601EC2">
      <w:pPr>
        <w:rPr>
          <w:rFonts w:cs="Arial"/>
        </w:rPr>
      </w:pPr>
    </w:p>
    <w:p w14:paraId="2F8FF624" w14:textId="77777777" w:rsidR="00346912" w:rsidRPr="00CA4E4C" w:rsidRDefault="00346912" w:rsidP="00726A9D">
      <w:pPr>
        <w:jc w:val="both"/>
        <w:rPr>
          <w:rFonts w:cs="Arial"/>
        </w:rPr>
      </w:pPr>
      <w:r w:rsidRPr="00CA4E4C">
        <w:rPr>
          <w:rFonts w:cs="Arial"/>
        </w:rPr>
        <w:t>SDG&amp;E will also continue its IDSM re</w:t>
      </w:r>
      <w:r w:rsidR="00AE72D0" w:rsidRPr="00CA4E4C">
        <w:rPr>
          <w:rFonts w:cs="Arial"/>
        </w:rPr>
        <w:t>sidential behavior program and Nonresidential A</w:t>
      </w:r>
      <w:r w:rsidRPr="00CA4E4C">
        <w:rPr>
          <w:rFonts w:cs="Arial"/>
        </w:rPr>
        <w:t>udit programs that identify both EE and DR opportunities.</w:t>
      </w:r>
    </w:p>
    <w:p w14:paraId="0CE969CF" w14:textId="77777777" w:rsidR="00110C54" w:rsidRDefault="00110C54" w:rsidP="008F5F98">
      <w:pPr>
        <w:rPr>
          <w:rFonts w:cs="Arial"/>
        </w:rPr>
      </w:pPr>
    </w:p>
    <w:p w14:paraId="40E28F5B" w14:textId="718CDEA5" w:rsidR="001E2D64" w:rsidRDefault="00110C54" w:rsidP="008F5F98">
      <w:pPr>
        <w:rPr>
          <w:rFonts w:cs="Arial"/>
        </w:rPr>
      </w:pPr>
      <w:r w:rsidRPr="00CA4E4C">
        <w:rPr>
          <w:rFonts w:cs="Arial"/>
        </w:rPr>
        <w:t xml:space="preserve">Program closures are provided below in Table </w:t>
      </w:r>
      <w:r>
        <w:rPr>
          <w:rFonts w:cs="Arial"/>
        </w:rPr>
        <w:t>10</w:t>
      </w:r>
      <w:r w:rsidRPr="00CA4E4C">
        <w:rPr>
          <w:rFonts w:cs="Arial"/>
        </w:rPr>
        <w:t>.</w:t>
      </w:r>
    </w:p>
    <w:p w14:paraId="444665D7" w14:textId="77777777" w:rsidR="00110C54" w:rsidRDefault="00110C54" w:rsidP="008F5F98">
      <w:pPr>
        <w:rPr>
          <w:rFonts w:cs="Arial"/>
          <w:szCs w:val="22"/>
        </w:rPr>
      </w:pPr>
    </w:p>
    <w:p w14:paraId="238F03F4" w14:textId="77777777" w:rsidR="00051DC5" w:rsidRPr="00CA4E4C" w:rsidRDefault="00051DC5" w:rsidP="00051DC5">
      <w:pPr>
        <w:jc w:val="center"/>
        <w:rPr>
          <w:rFonts w:cs="Arial"/>
          <w:b/>
        </w:rPr>
      </w:pPr>
      <w:r w:rsidRPr="00CA4E4C">
        <w:rPr>
          <w:rFonts w:cs="Arial"/>
          <w:b/>
        </w:rPr>
        <w:t xml:space="preserve">Table </w:t>
      </w:r>
      <w:r>
        <w:rPr>
          <w:rFonts w:cs="Arial"/>
          <w:b/>
        </w:rPr>
        <w:t>10</w:t>
      </w:r>
      <w:r w:rsidRPr="00CA4E4C">
        <w:rPr>
          <w:rFonts w:cs="Arial"/>
          <w:b/>
        </w:rPr>
        <w:t>: San Diego Gas &amp; Electric Program Closures</w:t>
      </w:r>
    </w:p>
    <w:p w14:paraId="409766E1" w14:textId="77777777" w:rsidR="00051DC5" w:rsidRPr="00CA4E4C" w:rsidRDefault="00051DC5" w:rsidP="00051DC5">
      <w:pPr>
        <w:rPr>
          <w:rFonts w:cs="Arial"/>
        </w:rPr>
      </w:pPr>
    </w:p>
    <w:tbl>
      <w:tblPr>
        <w:tblStyle w:val="TableGrid"/>
        <w:tblW w:w="0" w:type="auto"/>
        <w:jc w:val="center"/>
        <w:tblLook w:val="04A0" w:firstRow="1" w:lastRow="0" w:firstColumn="1" w:lastColumn="0" w:noHBand="0" w:noVBand="1"/>
      </w:tblPr>
      <w:tblGrid>
        <w:gridCol w:w="2605"/>
        <w:gridCol w:w="5580"/>
      </w:tblGrid>
      <w:tr w:rsidR="00051DC5" w:rsidRPr="00CA4E4C" w14:paraId="5FD8A305" w14:textId="77777777" w:rsidTr="007C5895">
        <w:trPr>
          <w:jc w:val="center"/>
        </w:trPr>
        <w:tc>
          <w:tcPr>
            <w:tcW w:w="2605" w:type="dxa"/>
          </w:tcPr>
          <w:p w14:paraId="0B52AB45" w14:textId="77777777" w:rsidR="00051DC5" w:rsidRPr="00CA4E4C" w:rsidRDefault="00051DC5" w:rsidP="007C5895">
            <w:pPr>
              <w:rPr>
                <w:rFonts w:cs="Arial"/>
                <w:b/>
              </w:rPr>
            </w:pPr>
            <w:r w:rsidRPr="00CA4E4C">
              <w:rPr>
                <w:rFonts w:cs="Arial"/>
                <w:b/>
              </w:rPr>
              <w:t>Sector</w:t>
            </w:r>
          </w:p>
        </w:tc>
        <w:tc>
          <w:tcPr>
            <w:tcW w:w="5580" w:type="dxa"/>
          </w:tcPr>
          <w:p w14:paraId="7D812E42" w14:textId="77777777" w:rsidR="00051DC5" w:rsidRPr="00CA4E4C" w:rsidRDefault="00051DC5" w:rsidP="007C5895">
            <w:pPr>
              <w:rPr>
                <w:rFonts w:cs="Arial"/>
                <w:b/>
              </w:rPr>
            </w:pPr>
            <w:r w:rsidRPr="00CA4E4C">
              <w:rPr>
                <w:rFonts w:cs="Arial"/>
                <w:b/>
              </w:rPr>
              <w:t>Program</w:t>
            </w:r>
          </w:p>
        </w:tc>
      </w:tr>
      <w:tr w:rsidR="00051DC5" w:rsidRPr="00CA4E4C" w14:paraId="1D399051" w14:textId="77777777" w:rsidTr="007C5895">
        <w:trPr>
          <w:jc w:val="center"/>
        </w:trPr>
        <w:tc>
          <w:tcPr>
            <w:tcW w:w="2605" w:type="dxa"/>
          </w:tcPr>
          <w:p w14:paraId="14F2D933" w14:textId="77777777" w:rsidR="00051DC5" w:rsidRPr="00CA4E4C" w:rsidRDefault="00051DC5" w:rsidP="007C5895">
            <w:pPr>
              <w:rPr>
                <w:rFonts w:cs="Arial"/>
              </w:rPr>
            </w:pPr>
            <w:r w:rsidRPr="00CA4E4C">
              <w:rPr>
                <w:rFonts w:cs="Arial"/>
              </w:rPr>
              <w:t>Residential</w:t>
            </w:r>
          </w:p>
        </w:tc>
        <w:tc>
          <w:tcPr>
            <w:tcW w:w="5580" w:type="dxa"/>
          </w:tcPr>
          <w:p w14:paraId="43833FF6" w14:textId="77777777" w:rsidR="00051DC5" w:rsidRPr="00CA4E4C" w:rsidRDefault="00051DC5" w:rsidP="007C5895">
            <w:pPr>
              <w:rPr>
                <w:rFonts w:cs="Arial"/>
              </w:rPr>
            </w:pPr>
            <w:r w:rsidRPr="00CA4E4C">
              <w:rPr>
                <w:rFonts w:cs="Arial"/>
                <w:color w:val="444444"/>
              </w:rPr>
              <w:t>Local-CALS - Middle Income Direct Install (MIDI)</w:t>
            </w:r>
          </w:p>
        </w:tc>
      </w:tr>
      <w:tr w:rsidR="00051DC5" w:rsidRPr="00CA4E4C" w14:paraId="4B1C4BDF" w14:textId="77777777" w:rsidTr="007C5895">
        <w:trPr>
          <w:jc w:val="center"/>
        </w:trPr>
        <w:tc>
          <w:tcPr>
            <w:tcW w:w="2605" w:type="dxa"/>
          </w:tcPr>
          <w:p w14:paraId="446245FF" w14:textId="77777777" w:rsidR="00051DC5" w:rsidRPr="00CA4E4C" w:rsidRDefault="00051DC5" w:rsidP="007C5895">
            <w:pPr>
              <w:rPr>
                <w:rFonts w:cs="Arial"/>
              </w:rPr>
            </w:pPr>
            <w:r w:rsidRPr="00CA4E4C">
              <w:rPr>
                <w:rFonts w:cs="Arial"/>
              </w:rPr>
              <w:t>Residential</w:t>
            </w:r>
          </w:p>
        </w:tc>
        <w:tc>
          <w:tcPr>
            <w:tcW w:w="5580" w:type="dxa"/>
          </w:tcPr>
          <w:p w14:paraId="092427EC" w14:textId="77777777" w:rsidR="00051DC5" w:rsidRPr="00CA4E4C" w:rsidRDefault="00051DC5" w:rsidP="007C5895">
            <w:pPr>
              <w:rPr>
                <w:rFonts w:cs="Arial"/>
              </w:rPr>
            </w:pPr>
            <w:r w:rsidRPr="00CA4E4C">
              <w:rPr>
                <w:rFonts w:cs="Arial"/>
                <w:color w:val="444444"/>
              </w:rPr>
              <w:t>SW-Lighting-Lighting Market Transformation</w:t>
            </w:r>
          </w:p>
        </w:tc>
      </w:tr>
      <w:tr w:rsidR="00051DC5" w:rsidRPr="00CA4E4C" w14:paraId="36941309" w14:textId="77777777" w:rsidTr="007C5895">
        <w:trPr>
          <w:jc w:val="center"/>
        </w:trPr>
        <w:tc>
          <w:tcPr>
            <w:tcW w:w="2605" w:type="dxa"/>
          </w:tcPr>
          <w:p w14:paraId="17977A43" w14:textId="77777777" w:rsidR="00051DC5" w:rsidRPr="00CA4E4C" w:rsidRDefault="00051DC5" w:rsidP="007C5895">
            <w:pPr>
              <w:rPr>
                <w:rFonts w:cs="Arial"/>
              </w:rPr>
            </w:pPr>
            <w:r w:rsidRPr="00CA4E4C">
              <w:rPr>
                <w:rFonts w:cs="Arial"/>
              </w:rPr>
              <w:t>Residential</w:t>
            </w:r>
          </w:p>
        </w:tc>
        <w:tc>
          <w:tcPr>
            <w:tcW w:w="5580" w:type="dxa"/>
          </w:tcPr>
          <w:p w14:paraId="293A246C" w14:textId="77777777" w:rsidR="00051DC5" w:rsidRPr="00CA4E4C" w:rsidRDefault="00051DC5" w:rsidP="007C5895">
            <w:pPr>
              <w:rPr>
                <w:rFonts w:cs="Arial"/>
                <w:color w:val="444444"/>
              </w:rPr>
            </w:pPr>
            <w:r w:rsidRPr="00CA4E4C">
              <w:rPr>
                <w:rFonts w:cs="Arial"/>
                <w:color w:val="444444"/>
              </w:rPr>
              <w:t>SW-CALS - CAHP/ESMH-CA Advanced Homes</w:t>
            </w:r>
          </w:p>
        </w:tc>
      </w:tr>
      <w:tr w:rsidR="00051DC5" w:rsidRPr="00CA4E4C" w14:paraId="3E7FA9CD" w14:textId="77777777" w:rsidTr="007C5895">
        <w:trPr>
          <w:jc w:val="center"/>
        </w:trPr>
        <w:tc>
          <w:tcPr>
            <w:tcW w:w="2605" w:type="dxa"/>
          </w:tcPr>
          <w:p w14:paraId="69AB04E7" w14:textId="77777777" w:rsidR="00051DC5" w:rsidRPr="00CA4E4C" w:rsidRDefault="00051DC5" w:rsidP="007C5895">
            <w:pPr>
              <w:rPr>
                <w:rFonts w:cs="Arial"/>
              </w:rPr>
            </w:pPr>
            <w:r w:rsidRPr="00CA4E4C">
              <w:rPr>
                <w:rFonts w:cs="Arial"/>
              </w:rPr>
              <w:t>Residential</w:t>
            </w:r>
          </w:p>
        </w:tc>
        <w:tc>
          <w:tcPr>
            <w:tcW w:w="5580" w:type="dxa"/>
          </w:tcPr>
          <w:p w14:paraId="60E7FA71" w14:textId="77777777" w:rsidR="00051DC5" w:rsidRPr="00CA4E4C" w:rsidRDefault="00051DC5" w:rsidP="007C5895">
            <w:pPr>
              <w:rPr>
                <w:rFonts w:cs="Arial"/>
              </w:rPr>
            </w:pPr>
            <w:r w:rsidRPr="00CA4E4C">
              <w:rPr>
                <w:rFonts w:cs="Arial"/>
                <w:color w:val="444444"/>
              </w:rPr>
              <w:t>SW-Lighting-Lighting Innovation-ETPC MD</w:t>
            </w:r>
          </w:p>
        </w:tc>
      </w:tr>
      <w:tr w:rsidR="00051DC5" w:rsidRPr="00CA4E4C" w14:paraId="29EBBA68" w14:textId="77777777" w:rsidTr="007C5895">
        <w:trPr>
          <w:jc w:val="center"/>
        </w:trPr>
        <w:tc>
          <w:tcPr>
            <w:tcW w:w="2605" w:type="dxa"/>
          </w:tcPr>
          <w:p w14:paraId="42A1F4C4" w14:textId="77777777" w:rsidR="00051DC5" w:rsidRPr="00CA4E4C" w:rsidRDefault="00051DC5" w:rsidP="007C5895">
            <w:pPr>
              <w:rPr>
                <w:rFonts w:cs="Arial"/>
              </w:rPr>
            </w:pPr>
            <w:r w:rsidRPr="00CA4E4C">
              <w:rPr>
                <w:rFonts w:cs="Arial"/>
              </w:rPr>
              <w:t>Residential</w:t>
            </w:r>
          </w:p>
        </w:tc>
        <w:tc>
          <w:tcPr>
            <w:tcW w:w="5580" w:type="dxa"/>
          </w:tcPr>
          <w:p w14:paraId="5A37CE21" w14:textId="77777777" w:rsidR="00051DC5" w:rsidRPr="00CA4E4C" w:rsidRDefault="00051DC5" w:rsidP="007C5895">
            <w:pPr>
              <w:rPr>
                <w:rFonts w:cs="Arial"/>
                <w:color w:val="444444"/>
              </w:rPr>
            </w:pPr>
            <w:r w:rsidRPr="00CA4E4C">
              <w:rPr>
                <w:rFonts w:cs="Arial"/>
                <w:color w:val="444444"/>
              </w:rPr>
              <w:t>SW-Lighting-Primary Lighting</w:t>
            </w:r>
          </w:p>
        </w:tc>
      </w:tr>
      <w:tr w:rsidR="00051DC5" w:rsidRPr="00CA4E4C" w14:paraId="49B7C73F" w14:textId="77777777" w:rsidTr="007C5895">
        <w:trPr>
          <w:jc w:val="center"/>
        </w:trPr>
        <w:tc>
          <w:tcPr>
            <w:tcW w:w="2605" w:type="dxa"/>
          </w:tcPr>
          <w:p w14:paraId="535AE945" w14:textId="77777777" w:rsidR="00051DC5" w:rsidRPr="00CA4E4C" w:rsidRDefault="00051DC5" w:rsidP="007C5895">
            <w:pPr>
              <w:rPr>
                <w:rFonts w:cs="Arial"/>
              </w:rPr>
            </w:pPr>
            <w:r w:rsidRPr="00CA4E4C">
              <w:rPr>
                <w:rFonts w:cs="Arial"/>
              </w:rPr>
              <w:t>Residential</w:t>
            </w:r>
          </w:p>
        </w:tc>
        <w:tc>
          <w:tcPr>
            <w:tcW w:w="5580" w:type="dxa"/>
          </w:tcPr>
          <w:p w14:paraId="61B3CC76" w14:textId="77777777" w:rsidR="00051DC5" w:rsidRPr="00CA4E4C" w:rsidRDefault="00051DC5" w:rsidP="007C5895">
            <w:pPr>
              <w:rPr>
                <w:rFonts w:cs="Arial"/>
                <w:color w:val="444444"/>
              </w:rPr>
            </w:pPr>
            <w:r w:rsidRPr="00CA4E4C">
              <w:rPr>
                <w:rFonts w:cs="Arial"/>
                <w:color w:val="444444"/>
              </w:rPr>
              <w:t>SW-CALS – Residential HVAC-HVAC Core</w:t>
            </w:r>
          </w:p>
        </w:tc>
      </w:tr>
      <w:tr w:rsidR="00051DC5" w:rsidRPr="00CA4E4C" w14:paraId="6D0C489C" w14:textId="77777777" w:rsidTr="007C5895">
        <w:trPr>
          <w:jc w:val="center"/>
        </w:trPr>
        <w:tc>
          <w:tcPr>
            <w:tcW w:w="2605" w:type="dxa"/>
          </w:tcPr>
          <w:p w14:paraId="2A63A9CF" w14:textId="77777777" w:rsidR="00051DC5" w:rsidRPr="00CA4E4C" w:rsidRDefault="00051DC5" w:rsidP="007C5895">
            <w:pPr>
              <w:rPr>
                <w:rFonts w:cs="Arial"/>
              </w:rPr>
            </w:pPr>
            <w:r w:rsidRPr="00CA4E4C">
              <w:rPr>
                <w:rFonts w:cs="Arial"/>
              </w:rPr>
              <w:t>Residential</w:t>
            </w:r>
          </w:p>
        </w:tc>
        <w:tc>
          <w:tcPr>
            <w:tcW w:w="5580" w:type="dxa"/>
          </w:tcPr>
          <w:p w14:paraId="4C762F95" w14:textId="77777777" w:rsidR="00051DC5" w:rsidRPr="00CA4E4C" w:rsidRDefault="00051DC5" w:rsidP="007C5895">
            <w:pPr>
              <w:rPr>
                <w:rFonts w:cs="Arial"/>
                <w:color w:val="444444"/>
              </w:rPr>
            </w:pPr>
            <w:r w:rsidRPr="00CA4E4C">
              <w:rPr>
                <w:rFonts w:cs="Arial"/>
                <w:color w:val="444444"/>
              </w:rPr>
              <w:t>SW-CALS - RESIDENTIAL HVAC UPSTREAM</w:t>
            </w:r>
          </w:p>
        </w:tc>
      </w:tr>
      <w:tr w:rsidR="00051DC5" w:rsidRPr="00CA4E4C" w14:paraId="06FC3521" w14:textId="77777777" w:rsidTr="007C5895">
        <w:trPr>
          <w:jc w:val="center"/>
        </w:trPr>
        <w:tc>
          <w:tcPr>
            <w:tcW w:w="2605" w:type="dxa"/>
          </w:tcPr>
          <w:p w14:paraId="0B4A6E94" w14:textId="77777777" w:rsidR="00051DC5" w:rsidRPr="00CA4E4C" w:rsidRDefault="00051DC5" w:rsidP="007C5895">
            <w:pPr>
              <w:rPr>
                <w:rFonts w:cs="Arial"/>
              </w:rPr>
            </w:pPr>
            <w:r w:rsidRPr="00CA4E4C">
              <w:rPr>
                <w:rFonts w:cs="Arial"/>
              </w:rPr>
              <w:t>Commercial</w:t>
            </w:r>
          </w:p>
        </w:tc>
        <w:tc>
          <w:tcPr>
            <w:tcW w:w="5580" w:type="dxa"/>
          </w:tcPr>
          <w:p w14:paraId="4180D871" w14:textId="77777777" w:rsidR="00051DC5" w:rsidRPr="00CA4E4C" w:rsidRDefault="00051DC5" w:rsidP="007C5895">
            <w:pPr>
              <w:rPr>
                <w:rFonts w:cs="Arial"/>
              </w:rPr>
            </w:pPr>
            <w:r w:rsidRPr="00CA4E4C">
              <w:rPr>
                <w:rFonts w:cs="Arial"/>
                <w:color w:val="444444"/>
              </w:rPr>
              <w:t>SW-COM-Customer Services-Benchmarking</w:t>
            </w:r>
          </w:p>
        </w:tc>
      </w:tr>
      <w:tr w:rsidR="00051DC5" w:rsidRPr="00CA4E4C" w14:paraId="31EB7038" w14:textId="77777777" w:rsidTr="007C5895">
        <w:trPr>
          <w:jc w:val="center"/>
        </w:trPr>
        <w:tc>
          <w:tcPr>
            <w:tcW w:w="2605" w:type="dxa"/>
          </w:tcPr>
          <w:p w14:paraId="148EF0CF" w14:textId="77777777" w:rsidR="00051DC5" w:rsidRPr="00CA4E4C" w:rsidRDefault="00051DC5" w:rsidP="007C5895">
            <w:pPr>
              <w:rPr>
                <w:rFonts w:cs="Arial"/>
              </w:rPr>
            </w:pPr>
            <w:r w:rsidRPr="00CA4E4C">
              <w:rPr>
                <w:rFonts w:cs="Arial"/>
              </w:rPr>
              <w:t>Commercial</w:t>
            </w:r>
          </w:p>
        </w:tc>
        <w:tc>
          <w:tcPr>
            <w:tcW w:w="5580" w:type="dxa"/>
          </w:tcPr>
          <w:p w14:paraId="4AB8E30E" w14:textId="77777777" w:rsidR="00051DC5" w:rsidRPr="00CA4E4C" w:rsidRDefault="00051DC5" w:rsidP="007C5895">
            <w:pPr>
              <w:rPr>
                <w:rFonts w:cs="Arial"/>
                <w:color w:val="444444"/>
              </w:rPr>
            </w:pPr>
            <w:r w:rsidRPr="00CA4E4C">
              <w:rPr>
                <w:rFonts w:cs="Arial"/>
                <w:color w:val="444444"/>
              </w:rPr>
              <w:t>SW-COM-Deemed Incentives-HVAC Commercial</w:t>
            </w:r>
          </w:p>
        </w:tc>
      </w:tr>
      <w:tr w:rsidR="00051DC5" w:rsidRPr="00CA4E4C" w14:paraId="39E8C643" w14:textId="77777777" w:rsidTr="007C5895">
        <w:trPr>
          <w:jc w:val="center"/>
        </w:trPr>
        <w:tc>
          <w:tcPr>
            <w:tcW w:w="2605" w:type="dxa"/>
          </w:tcPr>
          <w:p w14:paraId="303CEFE8" w14:textId="77777777" w:rsidR="00051DC5" w:rsidRPr="00CA4E4C" w:rsidRDefault="00051DC5" w:rsidP="007C5895">
            <w:pPr>
              <w:rPr>
                <w:rFonts w:cs="Arial"/>
              </w:rPr>
            </w:pPr>
            <w:r w:rsidRPr="00CA4E4C">
              <w:rPr>
                <w:rFonts w:cs="Arial"/>
              </w:rPr>
              <w:t>Commercial</w:t>
            </w:r>
          </w:p>
        </w:tc>
        <w:tc>
          <w:tcPr>
            <w:tcW w:w="5580" w:type="dxa"/>
          </w:tcPr>
          <w:p w14:paraId="2CCC6FC6" w14:textId="77777777" w:rsidR="00051DC5" w:rsidRPr="00CA4E4C" w:rsidRDefault="00051DC5" w:rsidP="007C5895">
            <w:pPr>
              <w:rPr>
                <w:rFonts w:cs="Arial"/>
                <w:color w:val="444444"/>
              </w:rPr>
            </w:pPr>
            <w:r w:rsidRPr="00CA4E4C">
              <w:rPr>
                <w:rFonts w:cs="Arial"/>
                <w:color w:val="444444"/>
              </w:rPr>
              <w:t>SW-COM-Deemed Incentives-HVAC Core</w:t>
            </w:r>
          </w:p>
        </w:tc>
      </w:tr>
      <w:tr w:rsidR="00051DC5" w:rsidRPr="00CA4E4C" w14:paraId="18D0FD5E" w14:textId="77777777" w:rsidTr="007C5895">
        <w:trPr>
          <w:jc w:val="center"/>
        </w:trPr>
        <w:tc>
          <w:tcPr>
            <w:tcW w:w="2605" w:type="dxa"/>
          </w:tcPr>
          <w:p w14:paraId="320ACF2F" w14:textId="77777777" w:rsidR="00051DC5" w:rsidRPr="00CA4E4C" w:rsidRDefault="00051DC5" w:rsidP="007C5895">
            <w:pPr>
              <w:rPr>
                <w:rFonts w:cs="Arial"/>
              </w:rPr>
            </w:pPr>
            <w:r w:rsidRPr="00CA4E4C">
              <w:rPr>
                <w:rFonts w:cs="Arial"/>
              </w:rPr>
              <w:t>Commercial</w:t>
            </w:r>
          </w:p>
        </w:tc>
        <w:tc>
          <w:tcPr>
            <w:tcW w:w="5580" w:type="dxa"/>
          </w:tcPr>
          <w:p w14:paraId="63BB058E" w14:textId="77777777" w:rsidR="00051DC5" w:rsidRPr="00CA4E4C" w:rsidRDefault="00051DC5" w:rsidP="007C5895">
            <w:pPr>
              <w:rPr>
                <w:rFonts w:cs="Arial"/>
                <w:color w:val="444444"/>
              </w:rPr>
            </w:pPr>
            <w:r w:rsidRPr="00CA4E4C">
              <w:rPr>
                <w:rFonts w:cs="Arial"/>
                <w:color w:val="444444"/>
              </w:rPr>
              <w:t>SW-Com-Customer Services-Pump Test Services</w:t>
            </w:r>
          </w:p>
        </w:tc>
      </w:tr>
      <w:tr w:rsidR="00051DC5" w:rsidRPr="00CA4E4C" w14:paraId="5D03DD55" w14:textId="77777777" w:rsidTr="007C5895">
        <w:trPr>
          <w:jc w:val="center"/>
        </w:trPr>
        <w:tc>
          <w:tcPr>
            <w:tcW w:w="2605" w:type="dxa"/>
          </w:tcPr>
          <w:p w14:paraId="2494BE64" w14:textId="77777777" w:rsidR="00051DC5" w:rsidRPr="00CA4E4C" w:rsidRDefault="00051DC5" w:rsidP="007C5895">
            <w:pPr>
              <w:rPr>
                <w:rFonts w:cs="Arial"/>
              </w:rPr>
            </w:pPr>
            <w:r w:rsidRPr="00CA4E4C">
              <w:rPr>
                <w:rFonts w:cs="Arial"/>
              </w:rPr>
              <w:t>Commercial</w:t>
            </w:r>
          </w:p>
        </w:tc>
        <w:tc>
          <w:tcPr>
            <w:tcW w:w="5580" w:type="dxa"/>
          </w:tcPr>
          <w:p w14:paraId="7958C17D" w14:textId="77777777" w:rsidR="00051DC5" w:rsidRPr="00CA4E4C" w:rsidRDefault="00051DC5" w:rsidP="007C5895">
            <w:pPr>
              <w:rPr>
                <w:rFonts w:cs="Arial"/>
                <w:color w:val="444444"/>
              </w:rPr>
            </w:pPr>
            <w:r w:rsidRPr="00CA4E4C">
              <w:rPr>
                <w:rFonts w:cs="Arial"/>
                <w:color w:val="444444"/>
              </w:rPr>
              <w:t>3P - Energy Advantage Program EAP</w:t>
            </w:r>
          </w:p>
        </w:tc>
      </w:tr>
      <w:tr w:rsidR="00051DC5" w:rsidRPr="00CA4E4C" w14:paraId="3A36AF5F" w14:textId="77777777" w:rsidTr="007C5895">
        <w:trPr>
          <w:jc w:val="center"/>
        </w:trPr>
        <w:tc>
          <w:tcPr>
            <w:tcW w:w="2605" w:type="dxa"/>
          </w:tcPr>
          <w:p w14:paraId="784EE8B5" w14:textId="77777777" w:rsidR="00051DC5" w:rsidRPr="00CA4E4C" w:rsidRDefault="00051DC5" w:rsidP="007C5895">
            <w:pPr>
              <w:rPr>
                <w:rFonts w:cs="Arial"/>
              </w:rPr>
            </w:pPr>
            <w:r w:rsidRPr="00CA4E4C">
              <w:rPr>
                <w:rFonts w:cs="Arial"/>
              </w:rPr>
              <w:t>Industrial</w:t>
            </w:r>
          </w:p>
        </w:tc>
        <w:tc>
          <w:tcPr>
            <w:tcW w:w="5580" w:type="dxa"/>
          </w:tcPr>
          <w:p w14:paraId="06425800" w14:textId="77777777" w:rsidR="00051DC5" w:rsidRPr="00CA4E4C" w:rsidRDefault="00051DC5" w:rsidP="007C5895">
            <w:pPr>
              <w:rPr>
                <w:rFonts w:cs="Arial"/>
                <w:color w:val="444444"/>
              </w:rPr>
            </w:pPr>
            <w:r w:rsidRPr="00CA4E4C">
              <w:rPr>
                <w:rFonts w:cs="Arial"/>
                <w:color w:val="444444"/>
              </w:rPr>
              <w:t>SW-IND-Customer Services-Benchmarking</w:t>
            </w:r>
          </w:p>
        </w:tc>
      </w:tr>
      <w:tr w:rsidR="00051DC5" w:rsidRPr="00CA4E4C" w14:paraId="68442F86" w14:textId="77777777" w:rsidTr="007C5895">
        <w:trPr>
          <w:jc w:val="center"/>
        </w:trPr>
        <w:tc>
          <w:tcPr>
            <w:tcW w:w="2605" w:type="dxa"/>
          </w:tcPr>
          <w:p w14:paraId="5EF2B244" w14:textId="77777777" w:rsidR="00051DC5" w:rsidRPr="00CA4E4C" w:rsidRDefault="00051DC5" w:rsidP="007C5895">
            <w:pPr>
              <w:rPr>
                <w:rFonts w:cs="Arial"/>
              </w:rPr>
            </w:pPr>
            <w:r w:rsidRPr="00CA4E4C">
              <w:rPr>
                <w:rFonts w:cs="Arial"/>
              </w:rPr>
              <w:t>Industrial</w:t>
            </w:r>
          </w:p>
        </w:tc>
        <w:tc>
          <w:tcPr>
            <w:tcW w:w="5580" w:type="dxa"/>
          </w:tcPr>
          <w:p w14:paraId="1FADC3FB" w14:textId="77777777" w:rsidR="00051DC5" w:rsidRPr="00CA4E4C" w:rsidRDefault="00051DC5" w:rsidP="007C5895">
            <w:pPr>
              <w:rPr>
                <w:rFonts w:cs="Arial"/>
                <w:color w:val="444444"/>
              </w:rPr>
            </w:pPr>
            <w:r w:rsidRPr="00CA4E4C">
              <w:rPr>
                <w:rFonts w:cs="Arial"/>
                <w:color w:val="444444"/>
              </w:rPr>
              <w:t>SW-Ind-Customer Services-Pump Test Services</w:t>
            </w:r>
          </w:p>
        </w:tc>
      </w:tr>
      <w:tr w:rsidR="00051DC5" w:rsidRPr="00CA4E4C" w14:paraId="1515EF32" w14:textId="77777777" w:rsidTr="007C5895">
        <w:trPr>
          <w:jc w:val="center"/>
        </w:trPr>
        <w:tc>
          <w:tcPr>
            <w:tcW w:w="2605" w:type="dxa"/>
          </w:tcPr>
          <w:p w14:paraId="1AE0227D" w14:textId="77777777" w:rsidR="00051DC5" w:rsidRPr="00CA4E4C" w:rsidRDefault="00051DC5" w:rsidP="007C5895">
            <w:pPr>
              <w:rPr>
                <w:rFonts w:cs="Arial"/>
              </w:rPr>
            </w:pPr>
            <w:r w:rsidRPr="00CA4E4C">
              <w:rPr>
                <w:rFonts w:cs="Arial"/>
              </w:rPr>
              <w:t>Agricultural</w:t>
            </w:r>
          </w:p>
        </w:tc>
        <w:tc>
          <w:tcPr>
            <w:tcW w:w="5580" w:type="dxa"/>
          </w:tcPr>
          <w:p w14:paraId="2397E416" w14:textId="77777777" w:rsidR="00051DC5" w:rsidRPr="00CA4E4C" w:rsidRDefault="00051DC5" w:rsidP="007C5895">
            <w:pPr>
              <w:rPr>
                <w:rFonts w:cs="Arial"/>
                <w:color w:val="444444"/>
              </w:rPr>
            </w:pPr>
            <w:r w:rsidRPr="00CA4E4C">
              <w:rPr>
                <w:rFonts w:cs="Arial"/>
                <w:color w:val="444444"/>
              </w:rPr>
              <w:t>SW-AG-Customer Services-Benchmarking</w:t>
            </w:r>
          </w:p>
        </w:tc>
      </w:tr>
      <w:tr w:rsidR="00051DC5" w:rsidRPr="00CA4E4C" w14:paraId="7D0407F7" w14:textId="77777777" w:rsidTr="007C5895">
        <w:trPr>
          <w:jc w:val="center"/>
        </w:trPr>
        <w:tc>
          <w:tcPr>
            <w:tcW w:w="2605" w:type="dxa"/>
          </w:tcPr>
          <w:p w14:paraId="0586046B" w14:textId="77777777" w:rsidR="00051DC5" w:rsidRPr="00CA4E4C" w:rsidRDefault="00051DC5" w:rsidP="007C5895">
            <w:pPr>
              <w:rPr>
                <w:rFonts w:cs="Arial"/>
              </w:rPr>
            </w:pPr>
            <w:r w:rsidRPr="00CA4E4C">
              <w:rPr>
                <w:rFonts w:cs="Arial"/>
              </w:rPr>
              <w:t>Agricultural</w:t>
            </w:r>
          </w:p>
        </w:tc>
        <w:tc>
          <w:tcPr>
            <w:tcW w:w="5580" w:type="dxa"/>
          </w:tcPr>
          <w:p w14:paraId="016439A4" w14:textId="77777777" w:rsidR="00051DC5" w:rsidRPr="00CA4E4C" w:rsidRDefault="00051DC5" w:rsidP="007C5895">
            <w:pPr>
              <w:rPr>
                <w:rFonts w:cs="Arial"/>
                <w:color w:val="444444"/>
              </w:rPr>
            </w:pPr>
            <w:r w:rsidRPr="00CA4E4C">
              <w:rPr>
                <w:rFonts w:cs="Arial"/>
                <w:color w:val="444444"/>
              </w:rPr>
              <w:t>SW-AG-Customer Services-Pump Test Services</w:t>
            </w:r>
          </w:p>
        </w:tc>
      </w:tr>
    </w:tbl>
    <w:p w14:paraId="1EB28233" w14:textId="77777777" w:rsidR="00051DC5" w:rsidRPr="00CA4E4C" w:rsidRDefault="00051DC5" w:rsidP="00051DC5">
      <w:pPr>
        <w:rPr>
          <w:rFonts w:cs="Arial"/>
        </w:rPr>
      </w:pPr>
    </w:p>
    <w:p w14:paraId="231CD11D" w14:textId="77777777" w:rsidR="00051DC5" w:rsidRPr="00CA4E4C" w:rsidRDefault="00051DC5" w:rsidP="008F5F98">
      <w:pPr>
        <w:rPr>
          <w:rFonts w:cs="Arial"/>
          <w:szCs w:val="22"/>
        </w:rPr>
      </w:pPr>
    </w:p>
    <w:p w14:paraId="4EA26C73" w14:textId="77777777" w:rsidR="00F9246A" w:rsidRPr="00CA4E4C" w:rsidRDefault="00F9246A" w:rsidP="00F9246A">
      <w:pPr>
        <w:pStyle w:val="Heading2"/>
        <w:rPr>
          <w:rFonts w:cs="Arial"/>
        </w:rPr>
      </w:pPr>
      <w:r w:rsidRPr="00CA4E4C">
        <w:rPr>
          <w:rFonts w:cs="Arial"/>
          <w:u w:val="none"/>
        </w:rPr>
        <w:t>I.</w:t>
      </w:r>
      <w:r w:rsidRPr="00CA4E4C">
        <w:rPr>
          <w:rFonts w:cs="Arial"/>
          <w:u w:val="none"/>
        </w:rPr>
        <w:tab/>
      </w:r>
      <w:r w:rsidRPr="00CA4E4C">
        <w:rPr>
          <w:rFonts w:cs="Arial"/>
        </w:rPr>
        <w:t>SDG&amp;E Status of Statewide Programs</w:t>
      </w:r>
    </w:p>
    <w:p w14:paraId="4827622D" w14:textId="77777777" w:rsidR="00F9246A" w:rsidRPr="00CA4E4C" w:rsidRDefault="00F9246A" w:rsidP="008F5F98">
      <w:pPr>
        <w:rPr>
          <w:rFonts w:cs="Arial"/>
          <w:szCs w:val="22"/>
        </w:rPr>
      </w:pPr>
    </w:p>
    <w:p w14:paraId="29EE2F7E" w14:textId="1AB5DFF7" w:rsidR="00606D37" w:rsidRPr="00CA4E4C" w:rsidRDefault="00080499" w:rsidP="00AE72D0">
      <w:pPr>
        <w:jc w:val="both"/>
        <w:rPr>
          <w:rFonts w:cs="Arial"/>
          <w:szCs w:val="22"/>
        </w:rPr>
      </w:pPr>
      <w:r w:rsidRPr="00CA4E4C">
        <w:rPr>
          <w:rFonts w:cs="Arial"/>
        </w:rPr>
        <w:t>Statewide</w:t>
      </w:r>
      <w:r w:rsidR="00335C77" w:rsidRPr="00CA4E4C">
        <w:rPr>
          <w:rFonts w:cs="Arial"/>
        </w:rPr>
        <w:t xml:space="preserve"> program</w:t>
      </w:r>
      <w:r w:rsidRPr="00CA4E4C">
        <w:rPr>
          <w:rFonts w:cs="Arial"/>
        </w:rPr>
        <w:t xml:space="preserve"> solicitations</w:t>
      </w:r>
      <w:r w:rsidR="00335C77" w:rsidRPr="00CA4E4C">
        <w:rPr>
          <w:rFonts w:cs="Arial"/>
        </w:rPr>
        <w:t xml:space="preserve"> </w:t>
      </w:r>
      <w:r w:rsidR="00C4564A" w:rsidRPr="00CA4E4C">
        <w:rPr>
          <w:rFonts w:cs="Arial"/>
        </w:rPr>
        <w:t>b</w:t>
      </w:r>
      <w:r w:rsidR="00F64E4D" w:rsidRPr="00CA4E4C">
        <w:rPr>
          <w:rFonts w:cs="Arial"/>
        </w:rPr>
        <w:t>e</w:t>
      </w:r>
      <w:r w:rsidR="00C4564A" w:rsidRPr="00CA4E4C">
        <w:rPr>
          <w:rFonts w:cs="Arial"/>
        </w:rPr>
        <w:t>gan</w:t>
      </w:r>
      <w:r w:rsidR="00335C77" w:rsidRPr="00CA4E4C">
        <w:rPr>
          <w:rFonts w:cs="Arial"/>
        </w:rPr>
        <w:t xml:space="preserve"> in 2019 </w:t>
      </w:r>
      <w:r w:rsidR="00F64E4D" w:rsidRPr="00CA4E4C">
        <w:rPr>
          <w:rFonts w:cs="Arial"/>
        </w:rPr>
        <w:t xml:space="preserve">most of which </w:t>
      </w:r>
      <w:r w:rsidR="00335C77" w:rsidRPr="00CA4E4C">
        <w:rPr>
          <w:rFonts w:cs="Arial"/>
        </w:rPr>
        <w:t>are not expected to be in implementation phase until 2020.</w:t>
      </w:r>
      <w:r w:rsidR="003A5F58" w:rsidRPr="00CA4E4C">
        <w:rPr>
          <w:rStyle w:val="FootnoteReference"/>
          <w:rFonts w:cs="Arial"/>
        </w:rPr>
        <w:t xml:space="preserve"> </w:t>
      </w:r>
      <w:r w:rsidR="003A5F58" w:rsidRPr="00CA4E4C">
        <w:rPr>
          <w:rStyle w:val="FootnoteReference"/>
          <w:rFonts w:cs="Arial"/>
        </w:rPr>
        <w:footnoteReference w:id="16"/>
      </w:r>
      <w:r w:rsidR="007E2E6D" w:rsidRPr="00CA4E4C">
        <w:rPr>
          <w:rFonts w:cs="Arial"/>
        </w:rPr>
        <w:t xml:space="preserve"> </w:t>
      </w:r>
      <w:r w:rsidR="007D3844" w:rsidRPr="00CA4E4C">
        <w:rPr>
          <w:rFonts w:cs="Arial"/>
        </w:rPr>
        <w:t xml:space="preserve">Until then </w:t>
      </w:r>
      <w:r w:rsidR="00335C77" w:rsidRPr="00CA4E4C">
        <w:rPr>
          <w:rFonts w:cs="Arial"/>
          <w:szCs w:val="22"/>
        </w:rPr>
        <w:t xml:space="preserve">SDG&amp;E </w:t>
      </w:r>
      <w:r w:rsidR="007D3844" w:rsidRPr="00CA4E4C">
        <w:rPr>
          <w:rFonts w:cs="Arial"/>
          <w:szCs w:val="22"/>
        </w:rPr>
        <w:t xml:space="preserve">will continue to implement the current </w:t>
      </w:r>
      <w:r w:rsidR="00335C77" w:rsidRPr="00CA4E4C">
        <w:rPr>
          <w:rFonts w:cs="Arial"/>
          <w:szCs w:val="22"/>
        </w:rPr>
        <w:t>SW program</w:t>
      </w:r>
      <w:r w:rsidR="007D3844" w:rsidRPr="00CA4E4C">
        <w:rPr>
          <w:rFonts w:cs="Arial"/>
          <w:szCs w:val="22"/>
        </w:rPr>
        <w:t>s with no substantive program changes.</w:t>
      </w:r>
      <w:r w:rsidR="007D3844" w:rsidRPr="00CA4E4C" w:rsidDel="007D3844">
        <w:rPr>
          <w:rFonts w:cs="Arial"/>
          <w:szCs w:val="22"/>
        </w:rPr>
        <w:t xml:space="preserve"> </w:t>
      </w:r>
    </w:p>
    <w:p w14:paraId="31A0B1C4" w14:textId="77777777" w:rsidR="00BE63E9" w:rsidRPr="00CA4E4C" w:rsidRDefault="00BE63E9" w:rsidP="00BE63E9">
      <w:pPr>
        <w:pStyle w:val="Heading2"/>
        <w:rPr>
          <w:rFonts w:cs="Arial"/>
        </w:rPr>
      </w:pPr>
    </w:p>
    <w:p w14:paraId="4F4C0EF6" w14:textId="77777777" w:rsidR="00745FA3" w:rsidRPr="00CA4E4C" w:rsidRDefault="00745FA3" w:rsidP="00BE63E9">
      <w:pPr>
        <w:rPr>
          <w:rFonts w:cs="Arial"/>
        </w:rPr>
      </w:pPr>
    </w:p>
    <w:p w14:paraId="33E6C8DD" w14:textId="0BAB88FB" w:rsidR="00745FA3" w:rsidRPr="00CA4E4C" w:rsidRDefault="00CD304B" w:rsidP="00BE63E9">
      <w:pPr>
        <w:pStyle w:val="Heading1"/>
      </w:pPr>
      <w:r w:rsidRPr="00CA4E4C">
        <w:t>201</w:t>
      </w:r>
      <w:r w:rsidR="00A1067E" w:rsidRPr="00CA4E4C">
        <w:t>8</w:t>
      </w:r>
      <w:r w:rsidRPr="00CA4E4C">
        <w:t xml:space="preserve"> </w:t>
      </w:r>
      <w:r w:rsidR="00745FA3" w:rsidRPr="00CA4E4C">
        <w:t xml:space="preserve">Metrics </w:t>
      </w:r>
      <w:r w:rsidR="001A049E" w:rsidRPr="00CA4E4C">
        <w:t>Results</w:t>
      </w:r>
    </w:p>
    <w:p w14:paraId="37B4836D" w14:textId="77777777" w:rsidR="00745FA3" w:rsidRPr="00CA4E4C" w:rsidRDefault="00745FA3" w:rsidP="00BE63E9">
      <w:pPr>
        <w:rPr>
          <w:rFonts w:cs="Arial"/>
        </w:rPr>
      </w:pPr>
    </w:p>
    <w:p w14:paraId="2322CED5" w14:textId="680BE183" w:rsidR="008D3140" w:rsidRPr="00CA4E4C" w:rsidRDefault="001A049E" w:rsidP="008F5F98">
      <w:pPr>
        <w:rPr>
          <w:rFonts w:cs="Arial"/>
          <w:szCs w:val="22"/>
        </w:rPr>
      </w:pPr>
      <w:r w:rsidRPr="00CA4E4C">
        <w:rPr>
          <w:rFonts w:cs="Arial"/>
          <w:szCs w:val="22"/>
        </w:rPr>
        <w:t xml:space="preserve">SDG&amp;E submitted its </w:t>
      </w:r>
      <w:r w:rsidR="00600C22" w:rsidRPr="00CA4E4C">
        <w:rPr>
          <w:rFonts w:cs="Arial"/>
          <w:szCs w:val="22"/>
        </w:rPr>
        <w:t>20</w:t>
      </w:r>
      <w:r w:rsidR="00065815" w:rsidRPr="00CA4E4C">
        <w:rPr>
          <w:rFonts w:cs="Arial"/>
          <w:szCs w:val="22"/>
        </w:rPr>
        <w:t>18</w:t>
      </w:r>
      <w:r w:rsidR="00600C22" w:rsidRPr="00CA4E4C">
        <w:rPr>
          <w:rFonts w:cs="Arial"/>
          <w:szCs w:val="22"/>
        </w:rPr>
        <w:t xml:space="preserve"> </w:t>
      </w:r>
      <w:r w:rsidRPr="00CA4E4C">
        <w:rPr>
          <w:rFonts w:cs="Arial"/>
          <w:szCs w:val="22"/>
        </w:rPr>
        <w:t xml:space="preserve">metrics </w:t>
      </w:r>
      <w:r w:rsidR="00600C22" w:rsidRPr="00CA4E4C">
        <w:rPr>
          <w:rFonts w:cs="Arial"/>
          <w:szCs w:val="22"/>
        </w:rPr>
        <w:t>results in its 2018 Energy Efficiency Annual Report</w:t>
      </w:r>
      <w:r w:rsidRPr="00CA4E4C">
        <w:rPr>
          <w:rFonts w:cs="Arial"/>
          <w:szCs w:val="22"/>
        </w:rPr>
        <w:t>.</w:t>
      </w:r>
      <w:r w:rsidR="00726A9D" w:rsidRPr="00CA4E4C">
        <w:rPr>
          <w:rStyle w:val="FootnoteReference"/>
          <w:rFonts w:cs="Arial"/>
          <w:szCs w:val="22"/>
        </w:rPr>
        <w:footnoteReference w:id="17"/>
      </w:r>
      <w:r w:rsidRPr="00CA4E4C">
        <w:rPr>
          <w:rFonts w:cs="Arial"/>
          <w:szCs w:val="22"/>
        </w:rPr>
        <w:t xml:space="preserve">  SDG&amp;E provides the 201</w:t>
      </w:r>
      <w:r w:rsidR="00600C22" w:rsidRPr="00CA4E4C">
        <w:rPr>
          <w:rFonts w:cs="Arial"/>
          <w:szCs w:val="22"/>
        </w:rPr>
        <w:t>8</w:t>
      </w:r>
      <w:r w:rsidRPr="00CA4E4C">
        <w:rPr>
          <w:rFonts w:cs="Arial"/>
          <w:szCs w:val="22"/>
        </w:rPr>
        <w:t xml:space="preserve"> metric results in </w:t>
      </w:r>
      <w:r w:rsidR="00DE1776" w:rsidRPr="00CA4E4C">
        <w:rPr>
          <w:rFonts w:cs="Arial"/>
          <w:szCs w:val="22"/>
        </w:rPr>
        <w:t xml:space="preserve">Appendix </w:t>
      </w:r>
      <w:r w:rsidR="0063389B" w:rsidRPr="00CA4E4C">
        <w:rPr>
          <w:rFonts w:cs="Arial"/>
          <w:szCs w:val="22"/>
        </w:rPr>
        <w:t>D</w:t>
      </w:r>
      <w:r w:rsidRPr="00CA4E4C">
        <w:rPr>
          <w:rFonts w:cs="Arial"/>
          <w:szCs w:val="22"/>
        </w:rPr>
        <w:t>.</w:t>
      </w:r>
    </w:p>
    <w:p w14:paraId="096579E1" w14:textId="77777777" w:rsidR="001A049E" w:rsidRPr="00CA4E4C" w:rsidRDefault="001A049E" w:rsidP="008F5F98">
      <w:pPr>
        <w:rPr>
          <w:rFonts w:cs="Arial"/>
          <w:szCs w:val="22"/>
        </w:rPr>
      </w:pPr>
    </w:p>
    <w:p w14:paraId="15015E92" w14:textId="77777777" w:rsidR="007535B3" w:rsidRPr="00CA4E4C" w:rsidRDefault="007535B3" w:rsidP="008F5F98">
      <w:pPr>
        <w:rPr>
          <w:rFonts w:cs="Arial"/>
          <w:b/>
          <w:szCs w:val="22"/>
          <w:u w:val="single"/>
        </w:rPr>
      </w:pPr>
      <w:r w:rsidRPr="00CA4E4C">
        <w:rPr>
          <w:rFonts w:cs="Arial"/>
          <w:b/>
          <w:szCs w:val="22"/>
          <w:u w:val="single"/>
        </w:rPr>
        <w:t>EFFECTIVE DATE</w:t>
      </w:r>
    </w:p>
    <w:p w14:paraId="7095B27F" w14:textId="77777777" w:rsidR="008F5F98" w:rsidRPr="00CA4E4C" w:rsidRDefault="008F5F98" w:rsidP="008F5F98">
      <w:pPr>
        <w:rPr>
          <w:rFonts w:cs="Arial"/>
          <w:b/>
          <w:szCs w:val="22"/>
          <w:u w:val="single"/>
        </w:rPr>
      </w:pPr>
    </w:p>
    <w:p w14:paraId="39ED9977" w14:textId="1ECA780E" w:rsidR="00A65618" w:rsidRPr="00CA4E4C" w:rsidRDefault="00265B2B" w:rsidP="00A65618">
      <w:pPr>
        <w:jc w:val="both"/>
        <w:rPr>
          <w:rFonts w:cs="Arial"/>
          <w:szCs w:val="22"/>
        </w:rPr>
      </w:pPr>
      <w:r w:rsidRPr="00CA4E4C">
        <w:rPr>
          <w:rFonts w:cs="Arial"/>
          <w:szCs w:val="22"/>
        </w:rPr>
        <w:t xml:space="preserve">This </w:t>
      </w:r>
      <w:r w:rsidR="00A65618" w:rsidRPr="00CA4E4C">
        <w:rPr>
          <w:rFonts w:cs="Arial"/>
          <w:szCs w:val="22"/>
        </w:rPr>
        <w:t>filing is subject to Energy Division disposition and should be classified as Tier 2 (effective after staff approval) pursuant to GO 96-B</w:t>
      </w:r>
      <w:r w:rsidR="00F51D0E" w:rsidRPr="00CA4E4C">
        <w:rPr>
          <w:rFonts w:cs="Arial"/>
          <w:szCs w:val="22"/>
        </w:rPr>
        <w:t xml:space="preserve"> and D.15-10-028 OP4</w:t>
      </w:r>
      <w:r w:rsidR="00A65618" w:rsidRPr="00CA4E4C">
        <w:rPr>
          <w:rFonts w:cs="Arial"/>
          <w:szCs w:val="22"/>
        </w:rPr>
        <w:t xml:space="preserve">.  SDG&amp;E respectfully requests that this filing become effective on January </w:t>
      </w:r>
      <w:r w:rsidR="00F51D0E" w:rsidRPr="00CA4E4C">
        <w:rPr>
          <w:rFonts w:cs="Arial"/>
          <w:szCs w:val="22"/>
        </w:rPr>
        <w:t>1</w:t>
      </w:r>
      <w:r w:rsidR="00A65618" w:rsidRPr="00CA4E4C">
        <w:rPr>
          <w:rFonts w:cs="Arial"/>
          <w:szCs w:val="22"/>
        </w:rPr>
        <w:t>, 20</w:t>
      </w:r>
      <w:r w:rsidR="005909C6" w:rsidRPr="00CA4E4C">
        <w:rPr>
          <w:rFonts w:cs="Arial"/>
          <w:szCs w:val="22"/>
        </w:rPr>
        <w:t>2</w:t>
      </w:r>
      <w:r w:rsidR="00065815" w:rsidRPr="00CA4E4C">
        <w:rPr>
          <w:rFonts w:cs="Arial"/>
          <w:szCs w:val="22"/>
        </w:rPr>
        <w:t>1</w:t>
      </w:r>
      <w:r w:rsidR="00A65618" w:rsidRPr="00CA4E4C">
        <w:rPr>
          <w:rFonts w:cs="Arial"/>
          <w:szCs w:val="22"/>
        </w:rPr>
        <w:t xml:space="preserve">, which is </w:t>
      </w:r>
      <w:r w:rsidR="00F51D0E" w:rsidRPr="00CA4E4C">
        <w:rPr>
          <w:rFonts w:cs="Arial"/>
          <w:szCs w:val="22"/>
        </w:rPr>
        <w:t xml:space="preserve">more than </w:t>
      </w:r>
      <w:r w:rsidR="00A65618" w:rsidRPr="00CA4E4C">
        <w:rPr>
          <w:rFonts w:cs="Arial"/>
          <w:szCs w:val="22"/>
        </w:rPr>
        <w:t>30 days f</w:t>
      </w:r>
      <w:r w:rsidR="00F51D0E" w:rsidRPr="00CA4E4C">
        <w:rPr>
          <w:rFonts w:cs="Arial"/>
          <w:szCs w:val="22"/>
        </w:rPr>
        <w:t>rom the date filed.</w:t>
      </w:r>
    </w:p>
    <w:p w14:paraId="6B253049" w14:textId="77777777" w:rsidR="00F51D0E" w:rsidRPr="00CA4E4C" w:rsidRDefault="00F51D0E" w:rsidP="00A65618">
      <w:pPr>
        <w:jc w:val="both"/>
        <w:rPr>
          <w:rFonts w:cs="Arial"/>
          <w:szCs w:val="22"/>
        </w:rPr>
      </w:pPr>
    </w:p>
    <w:p w14:paraId="0CBA5A5B" w14:textId="556E2B0A" w:rsidR="00F51D0E" w:rsidRPr="00CA4E4C" w:rsidRDefault="00F51D0E" w:rsidP="00A65618">
      <w:pPr>
        <w:jc w:val="both"/>
        <w:rPr>
          <w:rFonts w:cs="Arial"/>
          <w:szCs w:val="22"/>
        </w:rPr>
      </w:pPr>
      <w:r w:rsidRPr="00CA4E4C">
        <w:rPr>
          <w:rFonts w:cs="Arial"/>
          <w:szCs w:val="22"/>
        </w:rPr>
        <w:t xml:space="preserve">In the event that this advice letter is not approved in time for January 1, </w:t>
      </w:r>
      <w:r w:rsidR="00B42D55" w:rsidRPr="00CA4E4C">
        <w:rPr>
          <w:rFonts w:cs="Arial"/>
          <w:szCs w:val="22"/>
        </w:rPr>
        <w:t>20</w:t>
      </w:r>
      <w:r w:rsidR="005909C6" w:rsidRPr="00CA4E4C">
        <w:rPr>
          <w:rFonts w:cs="Arial"/>
          <w:szCs w:val="22"/>
        </w:rPr>
        <w:t>2</w:t>
      </w:r>
      <w:r w:rsidR="00065815" w:rsidRPr="00CA4E4C">
        <w:rPr>
          <w:rFonts w:cs="Arial"/>
          <w:szCs w:val="22"/>
        </w:rPr>
        <w:t>1</w:t>
      </w:r>
      <w:r w:rsidR="00B42D55" w:rsidRPr="00CA4E4C">
        <w:rPr>
          <w:rFonts w:cs="Arial"/>
          <w:szCs w:val="22"/>
        </w:rPr>
        <w:t xml:space="preserve"> </w:t>
      </w:r>
      <w:r w:rsidRPr="00CA4E4C">
        <w:rPr>
          <w:rFonts w:cs="Arial"/>
          <w:szCs w:val="22"/>
        </w:rPr>
        <w:t>implementation, D.15-10-028 OP</w:t>
      </w:r>
      <w:r w:rsidR="000152AC" w:rsidRPr="00CA4E4C">
        <w:rPr>
          <w:rFonts w:cs="Arial"/>
          <w:szCs w:val="22"/>
        </w:rPr>
        <w:t xml:space="preserve"> </w:t>
      </w:r>
      <w:r w:rsidRPr="00CA4E4C">
        <w:rPr>
          <w:rFonts w:cs="Arial"/>
          <w:szCs w:val="22"/>
        </w:rPr>
        <w:t xml:space="preserve">5 provides for </w:t>
      </w:r>
      <w:r w:rsidR="00BD7D6E" w:rsidRPr="00CA4E4C">
        <w:rPr>
          <w:rFonts w:cs="Arial"/>
          <w:szCs w:val="22"/>
        </w:rPr>
        <w:t>201</w:t>
      </w:r>
      <w:r w:rsidR="005909C6" w:rsidRPr="00CA4E4C">
        <w:rPr>
          <w:rFonts w:cs="Arial"/>
          <w:szCs w:val="22"/>
        </w:rPr>
        <w:t>9</w:t>
      </w:r>
      <w:r w:rsidR="00BD7D6E" w:rsidRPr="00CA4E4C">
        <w:rPr>
          <w:rFonts w:cs="Arial"/>
          <w:szCs w:val="22"/>
        </w:rPr>
        <w:t xml:space="preserve"> </w:t>
      </w:r>
      <w:r w:rsidRPr="00CA4E4C">
        <w:rPr>
          <w:rFonts w:cs="Arial"/>
          <w:szCs w:val="22"/>
        </w:rPr>
        <w:t>program continuation until such time as the advice letter is approved.</w:t>
      </w:r>
    </w:p>
    <w:p w14:paraId="64291605" w14:textId="77777777" w:rsidR="00E43A6E" w:rsidRPr="00CA4E4C" w:rsidRDefault="00E43A6E" w:rsidP="00A65618">
      <w:pPr>
        <w:jc w:val="both"/>
        <w:rPr>
          <w:rFonts w:cs="Arial"/>
          <w:szCs w:val="22"/>
        </w:rPr>
      </w:pPr>
    </w:p>
    <w:p w14:paraId="173EAA2A" w14:textId="77777777" w:rsidR="007535B3" w:rsidRPr="00CA4E4C" w:rsidRDefault="007535B3" w:rsidP="008F5F98">
      <w:pPr>
        <w:autoSpaceDE w:val="0"/>
        <w:autoSpaceDN w:val="0"/>
        <w:adjustRightInd w:val="0"/>
        <w:rPr>
          <w:rFonts w:cs="Arial"/>
          <w:b/>
          <w:color w:val="000000"/>
          <w:szCs w:val="22"/>
          <w:u w:val="single"/>
        </w:rPr>
      </w:pPr>
      <w:r w:rsidRPr="00CA4E4C">
        <w:rPr>
          <w:rFonts w:cs="Arial"/>
          <w:b/>
          <w:color w:val="000000"/>
          <w:szCs w:val="22"/>
          <w:u w:val="single"/>
        </w:rPr>
        <w:t>PROTEST</w:t>
      </w:r>
    </w:p>
    <w:p w14:paraId="5A12D9C2" w14:textId="77777777" w:rsidR="007535B3" w:rsidRPr="00CA4E4C" w:rsidRDefault="007535B3" w:rsidP="008F5F98">
      <w:pPr>
        <w:autoSpaceDE w:val="0"/>
        <w:autoSpaceDN w:val="0"/>
        <w:adjustRightInd w:val="0"/>
        <w:rPr>
          <w:rFonts w:cs="Arial"/>
          <w:color w:val="000000"/>
          <w:szCs w:val="22"/>
        </w:rPr>
      </w:pPr>
    </w:p>
    <w:p w14:paraId="2038D2C7" w14:textId="53D13E33" w:rsidR="009D590D" w:rsidRPr="00CA4E4C" w:rsidRDefault="009D590D" w:rsidP="009D590D">
      <w:pPr>
        <w:autoSpaceDE w:val="0"/>
        <w:autoSpaceDN w:val="0"/>
        <w:adjustRightInd w:val="0"/>
        <w:jc w:val="both"/>
        <w:rPr>
          <w:rFonts w:cs="Arial"/>
          <w:szCs w:val="22"/>
        </w:rPr>
      </w:pPr>
      <w:r w:rsidRPr="00CA4E4C">
        <w:rPr>
          <w:rFonts w:cs="Arial"/>
          <w:szCs w:val="22"/>
        </w:rPr>
        <w:t xml:space="preserve">Anyone may protest this Advice Letter to the California Public Utilities Commission. The protest must state the grounds upon which it is based, including such items as financial and service impact, and should be submitted expeditiously. The protest must be made in writing and must be received no later than </w:t>
      </w:r>
      <w:r w:rsidR="001944E2" w:rsidRPr="00CA4E4C">
        <w:rPr>
          <w:rFonts w:cs="Arial"/>
          <w:szCs w:val="22"/>
          <w:highlight w:val="yellow"/>
        </w:rPr>
        <w:t>September 2</w:t>
      </w:r>
      <w:r w:rsidR="005909C6" w:rsidRPr="00CA4E4C">
        <w:rPr>
          <w:rFonts w:cs="Arial"/>
          <w:szCs w:val="22"/>
          <w:highlight w:val="yellow"/>
        </w:rPr>
        <w:t>4</w:t>
      </w:r>
      <w:r w:rsidR="004141E3" w:rsidRPr="00CA4E4C">
        <w:rPr>
          <w:rFonts w:cs="Arial"/>
          <w:szCs w:val="22"/>
          <w:highlight w:val="yellow"/>
        </w:rPr>
        <w:t>,</w:t>
      </w:r>
      <w:r w:rsidRPr="00CA4E4C">
        <w:rPr>
          <w:rFonts w:cs="Arial"/>
          <w:szCs w:val="22"/>
          <w:highlight w:val="yellow"/>
        </w:rPr>
        <w:t xml:space="preserve"> 201</w:t>
      </w:r>
      <w:r w:rsidR="005909C6" w:rsidRPr="00D973B8">
        <w:rPr>
          <w:rFonts w:cs="Arial"/>
          <w:szCs w:val="22"/>
          <w:highlight w:val="yellow"/>
        </w:rPr>
        <w:t>9</w:t>
      </w:r>
      <w:r w:rsidRPr="00CA4E4C">
        <w:rPr>
          <w:rFonts w:cs="Arial"/>
          <w:szCs w:val="22"/>
        </w:rPr>
        <w:t xml:space="preserve"> which is 20 days of the date this Advice Letter was filed with the Commission. There is no restriction on who may file a protest. The address for mailing or delivering a protest to the Commission is:</w:t>
      </w:r>
    </w:p>
    <w:p w14:paraId="3EFAD3F7" w14:textId="77777777" w:rsidR="009D590D" w:rsidRPr="00CA4E4C" w:rsidRDefault="009D590D" w:rsidP="009D590D">
      <w:pPr>
        <w:autoSpaceDE w:val="0"/>
        <w:autoSpaceDN w:val="0"/>
        <w:adjustRightInd w:val="0"/>
        <w:jc w:val="both"/>
        <w:rPr>
          <w:rFonts w:cs="Arial"/>
          <w:szCs w:val="22"/>
        </w:rPr>
      </w:pPr>
    </w:p>
    <w:p w14:paraId="37A282FF" w14:textId="77777777" w:rsidR="009D590D" w:rsidRPr="00CA4E4C" w:rsidRDefault="009D590D" w:rsidP="009D590D">
      <w:pPr>
        <w:autoSpaceDE w:val="0"/>
        <w:autoSpaceDN w:val="0"/>
        <w:adjustRightInd w:val="0"/>
        <w:ind w:left="720"/>
        <w:jc w:val="both"/>
        <w:rPr>
          <w:rFonts w:cs="Arial"/>
          <w:szCs w:val="22"/>
        </w:rPr>
      </w:pPr>
      <w:r w:rsidRPr="00CA4E4C">
        <w:rPr>
          <w:rFonts w:cs="Arial"/>
          <w:szCs w:val="22"/>
        </w:rPr>
        <w:t>CPUC Energy Division</w:t>
      </w:r>
    </w:p>
    <w:p w14:paraId="7088496D" w14:textId="77777777" w:rsidR="009D590D" w:rsidRPr="00CA4E4C" w:rsidRDefault="009D590D" w:rsidP="009D590D">
      <w:pPr>
        <w:autoSpaceDE w:val="0"/>
        <w:autoSpaceDN w:val="0"/>
        <w:adjustRightInd w:val="0"/>
        <w:ind w:left="720"/>
        <w:jc w:val="both"/>
        <w:rPr>
          <w:rFonts w:cs="Arial"/>
          <w:szCs w:val="22"/>
        </w:rPr>
      </w:pPr>
      <w:r w:rsidRPr="00CA4E4C">
        <w:rPr>
          <w:rFonts w:cs="Arial"/>
          <w:szCs w:val="22"/>
        </w:rPr>
        <w:t>Attention: Tariff Unit</w:t>
      </w:r>
    </w:p>
    <w:p w14:paraId="3775BDCE" w14:textId="77777777" w:rsidR="009D590D" w:rsidRPr="00CA4E4C" w:rsidRDefault="009D590D" w:rsidP="009D590D">
      <w:pPr>
        <w:autoSpaceDE w:val="0"/>
        <w:autoSpaceDN w:val="0"/>
        <w:adjustRightInd w:val="0"/>
        <w:ind w:left="720"/>
        <w:jc w:val="both"/>
        <w:rPr>
          <w:rFonts w:cs="Arial"/>
          <w:szCs w:val="22"/>
        </w:rPr>
      </w:pPr>
      <w:r w:rsidRPr="00CA4E4C">
        <w:rPr>
          <w:rFonts w:cs="Arial"/>
          <w:szCs w:val="22"/>
        </w:rPr>
        <w:t>505 Van Ness Avenue</w:t>
      </w:r>
    </w:p>
    <w:p w14:paraId="3AFF4E32" w14:textId="77777777" w:rsidR="009D590D" w:rsidRPr="00CA4E4C" w:rsidRDefault="009D590D" w:rsidP="009D590D">
      <w:pPr>
        <w:autoSpaceDE w:val="0"/>
        <w:autoSpaceDN w:val="0"/>
        <w:adjustRightInd w:val="0"/>
        <w:ind w:left="720"/>
        <w:jc w:val="both"/>
        <w:rPr>
          <w:rFonts w:cs="Arial"/>
          <w:szCs w:val="22"/>
        </w:rPr>
      </w:pPr>
      <w:r w:rsidRPr="00CA4E4C">
        <w:rPr>
          <w:rFonts w:cs="Arial"/>
          <w:szCs w:val="22"/>
        </w:rPr>
        <w:t>San Francisco, CA 94102</w:t>
      </w:r>
    </w:p>
    <w:p w14:paraId="6F679D24" w14:textId="77777777" w:rsidR="009D590D" w:rsidRPr="00CA4E4C" w:rsidRDefault="009D590D" w:rsidP="009D590D">
      <w:pPr>
        <w:autoSpaceDE w:val="0"/>
        <w:autoSpaceDN w:val="0"/>
        <w:adjustRightInd w:val="0"/>
        <w:jc w:val="both"/>
        <w:rPr>
          <w:rFonts w:cs="Arial"/>
          <w:szCs w:val="22"/>
        </w:rPr>
      </w:pPr>
    </w:p>
    <w:p w14:paraId="75046B21" w14:textId="77777777" w:rsidR="009D590D" w:rsidRPr="00CA4E4C" w:rsidRDefault="009D590D" w:rsidP="009D590D">
      <w:pPr>
        <w:autoSpaceDE w:val="0"/>
        <w:autoSpaceDN w:val="0"/>
        <w:adjustRightInd w:val="0"/>
        <w:jc w:val="both"/>
        <w:rPr>
          <w:rFonts w:cs="Arial"/>
          <w:szCs w:val="22"/>
        </w:rPr>
      </w:pPr>
      <w:r w:rsidRPr="00CA4E4C">
        <w:rPr>
          <w:rFonts w:cs="Arial"/>
          <w:szCs w:val="22"/>
        </w:rPr>
        <w:t>Copies of the protest should also be sent via e-mail to the attention of the Energy Division at EDTariffUnit@cpuc.ca.gov. A copy of the protest should also be sent via both e-mail and facsimile to the address shown below on the same date it is mailed or delivered to the Commission.</w:t>
      </w:r>
    </w:p>
    <w:p w14:paraId="458ED756" w14:textId="77777777" w:rsidR="00C427A8" w:rsidRPr="00CA4E4C" w:rsidRDefault="00C427A8" w:rsidP="009D590D">
      <w:pPr>
        <w:autoSpaceDE w:val="0"/>
        <w:autoSpaceDN w:val="0"/>
        <w:adjustRightInd w:val="0"/>
        <w:ind w:left="720"/>
        <w:rPr>
          <w:rFonts w:cs="Arial"/>
          <w:szCs w:val="22"/>
        </w:rPr>
      </w:pPr>
    </w:p>
    <w:p w14:paraId="13E7CBF2" w14:textId="77777777" w:rsidR="009D590D" w:rsidRPr="00CA4E4C" w:rsidRDefault="009D590D" w:rsidP="009D590D">
      <w:pPr>
        <w:autoSpaceDE w:val="0"/>
        <w:autoSpaceDN w:val="0"/>
        <w:adjustRightInd w:val="0"/>
        <w:ind w:left="720"/>
        <w:rPr>
          <w:rFonts w:cs="Arial"/>
          <w:szCs w:val="22"/>
        </w:rPr>
      </w:pPr>
      <w:r w:rsidRPr="00CA4E4C">
        <w:rPr>
          <w:rFonts w:cs="Arial"/>
          <w:szCs w:val="22"/>
        </w:rPr>
        <w:t>Attn: Megan Caulson</w:t>
      </w:r>
    </w:p>
    <w:p w14:paraId="3E87C440" w14:textId="77777777" w:rsidR="009D590D" w:rsidRPr="00CA4E4C" w:rsidRDefault="009D590D" w:rsidP="009D590D">
      <w:pPr>
        <w:autoSpaceDE w:val="0"/>
        <w:autoSpaceDN w:val="0"/>
        <w:adjustRightInd w:val="0"/>
        <w:ind w:left="720"/>
        <w:rPr>
          <w:rFonts w:cs="Arial"/>
          <w:szCs w:val="22"/>
        </w:rPr>
      </w:pPr>
      <w:r w:rsidRPr="00CA4E4C">
        <w:rPr>
          <w:rFonts w:cs="Arial"/>
          <w:szCs w:val="22"/>
        </w:rPr>
        <w:t>Regulatory Tariff Manager</w:t>
      </w:r>
    </w:p>
    <w:p w14:paraId="7980B412" w14:textId="77777777" w:rsidR="009D590D" w:rsidRPr="00CA4E4C" w:rsidRDefault="009D590D" w:rsidP="009D590D">
      <w:pPr>
        <w:autoSpaceDE w:val="0"/>
        <w:autoSpaceDN w:val="0"/>
        <w:adjustRightInd w:val="0"/>
        <w:ind w:left="720"/>
        <w:rPr>
          <w:rFonts w:cs="Arial"/>
          <w:szCs w:val="22"/>
        </w:rPr>
      </w:pPr>
      <w:r w:rsidRPr="00CA4E4C">
        <w:rPr>
          <w:rFonts w:cs="Arial"/>
          <w:szCs w:val="22"/>
        </w:rPr>
        <w:t xml:space="preserve">E-mail: </w:t>
      </w:r>
      <w:hyperlink r:id="rId20" w:history="1">
        <w:r w:rsidRPr="00CA4E4C">
          <w:rPr>
            <w:rStyle w:val="Hyperlink"/>
            <w:rFonts w:cs="Arial"/>
            <w:szCs w:val="22"/>
          </w:rPr>
          <w:t>mcaulson@semprautilities.com</w:t>
        </w:r>
      </w:hyperlink>
    </w:p>
    <w:p w14:paraId="59891B29" w14:textId="77777777" w:rsidR="009D590D" w:rsidRPr="00CA4E4C" w:rsidRDefault="009D590D" w:rsidP="009D590D">
      <w:pPr>
        <w:autoSpaceDE w:val="0"/>
        <w:autoSpaceDN w:val="0"/>
        <w:adjustRightInd w:val="0"/>
        <w:ind w:left="720"/>
        <w:rPr>
          <w:rFonts w:cs="Arial"/>
          <w:szCs w:val="22"/>
        </w:rPr>
      </w:pPr>
    </w:p>
    <w:p w14:paraId="7BE3E136" w14:textId="77777777" w:rsidR="007535B3" w:rsidRPr="00CA4E4C" w:rsidRDefault="007535B3" w:rsidP="009D590D">
      <w:pPr>
        <w:autoSpaceDE w:val="0"/>
        <w:autoSpaceDN w:val="0"/>
        <w:adjustRightInd w:val="0"/>
        <w:rPr>
          <w:rFonts w:cs="Arial"/>
          <w:b/>
          <w:color w:val="000000"/>
          <w:szCs w:val="22"/>
          <w:u w:val="single"/>
        </w:rPr>
      </w:pPr>
      <w:r w:rsidRPr="00CA4E4C">
        <w:rPr>
          <w:rFonts w:cs="Arial"/>
          <w:b/>
          <w:color w:val="000000"/>
          <w:szCs w:val="22"/>
          <w:u w:val="single"/>
        </w:rPr>
        <w:t>NOTICE</w:t>
      </w:r>
    </w:p>
    <w:p w14:paraId="7043D557" w14:textId="77777777" w:rsidR="007535B3" w:rsidRPr="00CA4E4C" w:rsidRDefault="007535B3" w:rsidP="008F5F98">
      <w:pPr>
        <w:autoSpaceDE w:val="0"/>
        <w:autoSpaceDN w:val="0"/>
        <w:adjustRightInd w:val="0"/>
        <w:rPr>
          <w:rFonts w:cs="Arial"/>
          <w:b/>
          <w:color w:val="000000"/>
          <w:szCs w:val="22"/>
          <w:u w:val="single"/>
        </w:rPr>
      </w:pPr>
    </w:p>
    <w:p w14:paraId="755C6D34" w14:textId="77777777" w:rsidR="007535B3" w:rsidRPr="00CA4E4C" w:rsidRDefault="007535B3" w:rsidP="008F5F98">
      <w:pPr>
        <w:autoSpaceDE w:val="0"/>
        <w:autoSpaceDN w:val="0"/>
        <w:adjustRightInd w:val="0"/>
        <w:jc w:val="both"/>
        <w:rPr>
          <w:rFonts w:cs="Arial"/>
          <w:color w:val="000000"/>
          <w:szCs w:val="22"/>
        </w:rPr>
      </w:pPr>
      <w:r w:rsidRPr="00CA4E4C">
        <w:rPr>
          <w:rFonts w:cs="Arial"/>
          <w:color w:val="000000"/>
          <w:szCs w:val="22"/>
        </w:rPr>
        <w:t>A</w:t>
      </w:r>
      <w:r w:rsidRPr="00CA4E4C">
        <w:rPr>
          <w:rFonts w:cs="Arial"/>
          <w:color w:val="000000"/>
          <w:spacing w:val="54"/>
          <w:szCs w:val="22"/>
        </w:rPr>
        <w:t xml:space="preserve"> </w:t>
      </w:r>
      <w:r w:rsidRPr="00CA4E4C">
        <w:rPr>
          <w:rFonts w:cs="Arial"/>
          <w:color w:val="000000"/>
          <w:szCs w:val="22"/>
        </w:rPr>
        <w:t>copy</w:t>
      </w:r>
      <w:r w:rsidRPr="00CA4E4C">
        <w:rPr>
          <w:rFonts w:cs="Arial"/>
          <w:color w:val="000000"/>
          <w:spacing w:val="51"/>
          <w:szCs w:val="22"/>
        </w:rPr>
        <w:t xml:space="preserve"> </w:t>
      </w:r>
      <w:r w:rsidRPr="00CA4E4C">
        <w:rPr>
          <w:rFonts w:cs="Arial"/>
          <w:color w:val="000000"/>
          <w:szCs w:val="22"/>
        </w:rPr>
        <w:t>of</w:t>
      </w:r>
      <w:r w:rsidRPr="00CA4E4C">
        <w:rPr>
          <w:rFonts w:cs="Arial"/>
          <w:color w:val="000000"/>
          <w:spacing w:val="53"/>
          <w:szCs w:val="22"/>
        </w:rPr>
        <w:t xml:space="preserve"> </w:t>
      </w:r>
      <w:r w:rsidRPr="00CA4E4C">
        <w:rPr>
          <w:rFonts w:cs="Arial"/>
          <w:color w:val="000000"/>
          <w:szCs w:val="22"/>
        </w:rPr>
        <w:t>this</w:t>
      </w:r>
      <w:r w:rsidRPr="00CA4E4C">
        <w:rPr>
          <w:rFonts w:cs="Arial"/>
          <w:color w:val="000000"/>
          <w:spacing w:val="52"/>
          <w:szCs w:val="22"/>
        </w:rPr>
        <w:t xml:space="preserve"> </w:t>
      </w:r>
      <w:r w:rsidRPr="00CA4E4C">
        <w:rPr>
          <w:rFonts w:cs="Arial"/>
          <w:color w:val="000000"/>
          <w:szCs w:val="22"/>
        </w:rPr>
        <w:t>filing</w:t>
      </w:r>
      <w:r w:rsidRPr="00CA4E4C">
        <w:rPr>
          <w:rFonts w:cs="Arial"/>
          <w:color w:val="000000"/>
          <w:spacing w:val="51"/>
          <w:szCs w:val="22"/>
        </w:rPr>
        <w:t xml:space="preserve"> </w:t>
      </w:r>
      <w:r w:rsidRPr="00CA4E4C">
        <w:rPr>
          <w:rFonts w:cs="Arial"/>
          <w:color w:val="000000"/>
          <w:szCs w:val="22"/>
        </w:rPr>
        <w:t>has</w:t>
      </w:r>
      <w:r w:rsidRPr="00CA4E4C">
        <w:rPr>
          <w:rFonts w:cs="Arial"/>
          <w:color w:val="000000"/>
          <w:spacing w:val="52"/>
          <w:szCs w:val="22"/>
        </w:rPr>
        <w:t xml:space="preserve"> </w:t>
      </w:r>
      <w:r w:rsidRPr="00CA4E4C">
        <w:rPr>
          <w:rFonts w:cs="Arial"/>
          <w:color w:val="000000"/>
          <w:szCs w:val="22"/>
        </w:rPr>
        <w:t>been</w:t>
      </w:r>
      <w:r w:rsidRPr="00CA4E4C">
        <w:rPr>
          <w:rFonts w:cs="Arial"/>
          <w:color w:val="000000"/>
          <w:spacing w:val="50"/>
          <w:szCs w:val="22"/>
        </w:rPr>
        <w:t xml:space="preserve"> </w:t>
      </w:r>
      <w:r w:rsidRPr="00CA4E4C">
        <w:rPr>
          <w:rFonts w:cs="Arial"/>
          <w:color w:val="000000"/>
          <w:szCs w:val="22"/>
        </w:rPr>
        <w:t>served</w:t>
      </w:r>
      <w:r w:rsidRPr="00CA4E4C">
        <w:rPr>
          <w:rFonts w:cs="Arial"/>
          <w:color w:val="000000"/>
          <w:spacing w:val="49"/>
          <w:szCs w:val="22"/>
        </w:rPr>
        <w:t xml:space="preserve"> </w:t>
      </w:r>
      <w:r w:rsidRPr="00CA4E4C">
        <w:rPr>
          <w:rFonts w:cs="Arial"/>
          <w:color w:val="000000"/>
          <w:szCs w:val="22"/>
        </w:rPr>
        <w:t>on</w:t>
      </w:r>
      <w:r w:rsidRPr="00CA4E4C">
        <w:rPr>
          <w:rFonts w:cs="Arial"/>
          <w:color w:val="000000"/>
          <w:spacing w:val="53"/>
          <w:szCs w:val="22"/>
        </w:rPr>
        <w:t xml:space="preserve"> </w:t>
      </w:r>
      <w:r w:rsidRPr="00CA4E4C">
        <w:rPr>
          <w:rFonts w:cs="Arial"/>
          <w:color w:val="000000"/>
          <w:szCs w:val="22"/>
        </w:rPr>
        <w:t>the</w:t>
      </w:r>
      <w:r w:rsidRPr="00CA4E4C">
        <w:rPr>
          <w:rFonts w:cs="Arial"/>
          <w:color w:val="000000"/>
          <w:spacing w:val="52"/>
          <w:szCs w:val="22"/>
        </w:rPr>
        <w:t xml:space="preserve"> </w:t>
      </w:r>
      <w:r w:rsidRPr="00CA4E4C">
        <w:rPr>
          <w:rFonts w:cs="Arial"/>
          <w:color w:val="000000"/>
          <w:szCs w:val="22"/>
        </w:rPr>
        <w:t>utilities</w:t>
      </w:r>
      <w:r w:rsidRPr="00CA4E4C">
        <w:rPr>
          <w:rFonts w:cs="Arial"/>
          <w:color w:val="000000"/>
          <w:spacing w:val="48"/>
          <w:szCs w:val="22"/>
        </w:rPr>
        <w:t xml:space="preserve"> </w:t>
      </w:r>
      <w:r w:rsidRPr="00CA4E4C">
        <w:rPr>
          <w:rFonts w:cs="Arial"/>
          <w:color w:val="000000"/>
          <w:szCs w:val="22"/>
        </w:rPr>
        <w:t>and</w:t>
      </w:r>
      <w:r w:rsidRPr="00CA4E4C">
        <w:rPr>
          <w:rFonts w:cs="Arial"/>
          <w:color w:val="000000"/>
          <w:spacing w:val="50"/>
          <w:szCs w:val="22"/>
        </w:rPr>
        <w:t xml:space="preserve"> </w:t>
      </w:r>
      <w:r w:rsidRPr="00CA4E4C">
        <w:rPr>
          <w:rFonts w:cs="Arial"/>
          <w:color w:val="000000"/>
          <w:szCs w:val="22"/>
        </w:rPr>
        <w:t>interested</w:t>
      </w:r>
      <w:r w:rsidRPr="00CA4E4C">
        <w:rPr>
          <w:rFonts w:cs="Arial"/>
          <w:color w:val="000000"/>
          <w:spacing w:val="44"/>
          <w:szCs w:val="22"/>
        </w:rPr>
        <w:t xml:space="preserve"> </w:t>
      </w:r>
      <w:r w:rsidRPr="00CA4E4C">
        <w:rPr>
          <w:rFonts w:cs="Arial"/>
          <w:color w:val="000000"/>
          <w:szCs w:val="22"/>
        </w:rPr>
        <w:t>parties</w:t>
      </w:r>
      <w:r w:rsidRPr="00CA4E4C">
        <w:rPr>
          <w:rFonts w:cs="Arial"/>
          <w:color w:val="000000"/>
          <w:spacing w:val="48"/>
          <w:szCs w:val="22"/>
        </w:rPr>
        <w:t xml:space="preserve"> </w:t>
      </w:r>
      <w:r w:rsidRPr="00CA4E4C">
        <w:rPr>
          <w:rFonts w:cs="Arial"/>
          <w:color w:val="000000"/>
          <w:szCs w:val="22"/>
        </w:rPr>
        <w:t>shown</w:t>
      </w:r>
      <w:r w:rsidRPr="00CA4E4C">
        <w:rPr>
          <w:rFonts w:cs="Arial"/>
          <w:color w:val="000000"/>
          <w:spacing w:val="48"/>
          <w:szCs w:val="22"/>
        </w:rPr>
        <w:t xml:space="preserve"> </w:t>
      </w:r>
      <w:r w:rsidRPr="00CA4E4C">
        <w:rPr>
          <w:rFonts w:cs="Arial"/>
          <w:color w:val="000000"/>
          <w:szCs w:val="22"/>
        </w:rPr>
        <w:t>on</w:t>
      </w:r>
      <w:r w:rsidRPr="00CA4E4C">
        <w:rPr>
          <w:rFonts w:cs="Arial"/>
          <w:color w:val="000000"/>
          <w:spacing w:val="52"/>
          <w:szCs w:val="22"/>
        </w:rPr>
        <w:t xml:space="preserve"> </w:t>
      </w:r>
      <w:r w:rsidRPr="00CA4E4C">
        <w:rPr>
          <w:rFonts w:cs="Arial"/>
          <w:color w:val="000000"/>
          <w:szCs w:val="22"/>
        </w:rPr>
        <w:t>the attached</w:t>
      </w:r>
      <w:r w:rsidRPr="00CA4E4C">
        <w:rPr>
          <w:rFonts w:cs="Arial"/>
          <w:color w:val="000000"/>
          <w:spacing w:val="8"/>
          <w:szCs w:val="22"/>
        </w:rPr>
        <w:t xml:space="preserve"> </w:t>
      </w:r>
      <w:r w:rsidRPr="00CA4E4C">
        <w:rPr>
          <w:rFonts w:cs="Arial"/>
          <w:color w:val="000000"/>
          <w:szCs w:val="22"/>
        </w:rPr>
        <w:t>list,</w:t>
      </w:r>
      <w:r w:rsidRPr="00CA4E4C">
        <w:rPr>
          <w:rFonts w:cs="Arial"/>
          <w:color w:val="000000"/>
          <w:spacing w:val="13"/>
          <w:szCs w:val="22"/>
        </w:rPr>
        <w:t xml:space="preserve"> </w:t>
      </w:r>
      <w:r w:rsidRPr="00CA4E4C">
        <w:rPr>
          <w:rFonts w:cs="Arial"/>
          <w:color w:val="000000"/>
          <w:szCs w:val="22"/>
        </w:rPr>
        <w:t>including</w:t>
      </w:r>
      <w:r w:rsidRPr="00CA4E4C">
        <w:rPr>
          <w:rFonts w:cs="Arial"/>
          <w:color w:val="000000"/>
          <w:spacing w:val="7"/>
          <w:szCs w:val="22"/>
        </w:rPr>
        <w:t xml:space="preserve"> </w:t>
      </w:r>
      <w:r w:rsidRPr="00CA4E4C">
        <w:rPr>
          <w:rFonts w:cs="Arial"/>
          <w:color w:val="000000"/>
          <w:szCs w:val="22"/>
        </w:rPr>
        <w:t>interested</w:t>
      </w:r>
      <w:r w:rsidRPr="00CA4E4C">
        <w:rPr>
          <w:rFonts w:cs="Arial"/>
          <w:color w:val="000000"/>
          <w:spacing w:val="6"/>
          <w:szCs w:val="22"/>
        </w:rPr>
        <w:t xml:space="preserve"> </w:t>
      </w:r>
      <w:r w:rsidRPr="00CA4E4C">
        <w:rPr>
          <w:rFonts w:cs="Arial"/>
          <w:color w:val="000000"/>
          <w:szCs w:val="22"/>
        </w:rPr>
        <w:t>parties</w:t>
      </w:r>
      <w:r w:rsidRPr="00CA4E4C">
        <w:rPr>
          <w:rFonts w:cs="Arial"/>
          <w:color w:val="000000"/>
          <w:spacing w:val="9"/>
          <w:szCs w:val="22"/>
        </w:rPr>
        <w:t xml:space="preserve"> </w:t>
      </w:r>
      <w:r w:rsidRPr="00CA4E4C">
        <w:rPr>
          <w:rFonts w:cs="Arial"/>
          <w:color w:val="000000"/>
          <w:szCs w:val="22"/>
        </w:rPr>
        <w:t>in</w:t>
      </w:r>
      <w:r w:rsidRPr="00CA4E4C">
        <w:rPr>
          <w:rFonts w:cs="Arial"/>
          <w:color w:val="000000"/>
          <w:spacing w:val="14"/>
          <w:szCs w:val="22"/>
        </w:rPr>
        <w:t xml:space="preserve"> </w:t>
      </w:r>
      <w:r w:rsidR="005B674C" w:rsidRPr="00CA4E4C">
        <w:rPr>
          <w:rFonts w:cs="Arial"/>
          <w:color w:val="000000"/>
          <w:szCs w:val="22"/>
        </w:rPr>
        <w:t>A.</w:t>
      </w:r>
      <w:r w:rsidR="007D6A1F" w:rsidRPr="00CA4E4C">
        <w:rPr>
          <w:rFonts w:cs="Arial"/>
          <w:color w:val="000000"/>
          <w:szCs w:val="22"/>
        </w:rPr>
        <w:t>17-01-014</w:t>
      </w:r>
      <w:r w:rsidR="00A65618" w:rsidRPr="00CA4E4C">
        <w:rPr>
          <w:rFonts w:cs="Arial"/>
          <w:color w:val="000000"/>
          <w:szCs w:val="22"/>
        </w:rPr>
        <w:t xml:space="preserve"> and R.13-11-005</w:t>
      </w:r>
      <w:r w:rsidR="005B674C" w:rsidRPr="00CA4E4C">
        <w:rPr>
          <w:rFonts w:cs="Arial"/>
          <w:color w:val="000000"/>
          <w:szCs w:val="22"/>
        </w:rPr>
        <w:t>,</w:t>
      </w:r>
      <w:r w:rsidR="009D590D" w:rsidRPr="00CA4E4C">
        <w:rPr>
          <w:rFonts w:cs="Arial"/>
          <w:color w:val="000000"/>
          <w:szCs w:val="22"/>
        </w:rPr>
        <w:t xml:space="preserve"> </w:t>
      </w:r>
      <w:r w:rsidRPr="00CA4E4C">
        <w:rPr>
          <w:rFonts w:cs="Arial"/>
          <w:color w:val="000000"/>
          <w:szCs w:val="22"/>
        </w:rPr>
        <w:t>by</w:t>
      </w:r>
      <w:r w:rsidRPr="00CA4E4C">
        <w:rPr>
          <w:rFonts w:cs="Arial"/>
          <w:color w:val="000000"/>
          <w:spacing w:val="13"/>
          <w:szCs w:val="22"/>
        </w:rPr>
        <w:t xml:space="preserve"> </w:t>
      </w:r>
      <w:r w:rsidRPr="00CA4E4C">
        <w:rPr>
          <w:rFonts w:cs="Arial"/>
          <w:color w:val="000000"/>
          <w:szCs w:val="22"/>
        </w:rPr>
        <w:t>providing</w:t>
      </w:r>
      <w:r w:rsidRPr="00CA4E4C">
        <w:rPr>
          <w:rFonts w:cs="Arial"/>
          <w:color w:val="000000"/>
          <w:spacing w:val="6"/>
          <w:szCs w:val="22"/>
        </w:rPr>
        <w:t xml:space="preserve"> </w:t>
      </w:r>
      <w:r w:rsidRPr="00CA4E4C">
        <w:rPr>
          <w:rFonts w:cs="Arial"/>
          <w:color w:val="000000"/>
          <w:szCs w:val="22"/>
        </w:rPr>
        <w:t>them</w:t>
      </w:r>
      <w:r w:rsidRPr="00CA4E4C">
        <w:rPr>
          <w:rFonts w:cs="Arial"/>
          <w:color w:val="000000"/>
          <w:spacing w:val="10"/>
          <w:szCs w:val="22"/>
        </w:rPr>
        <w:t xml:space="preserve"> </w:t>
      </w:r>
      <w:r w:rsidRPr="00CA4E4C">
        <w:rPr>
          <w:rFonts w:cs="Arial"/>
          <w:color w:val="000000"/>
          <w:szCs w:val="22"/>
        </w:rPr>
        <w:t>a copy</w:t>
      </w:r>
      <w:r w:rsidRPr="00CA4E4C">
        <w:rPr>
          <w:rFonts w:cs="Arial"/>
          <w:color w:val="000000"/>
          <w:spacing w:val="-5"/>
          <w:szCs w:val="22"/>
        </w:rPr>
        <w:t xml:space="preserve"> </w:t>
      </w:r>
      <w:r w:rsidRPr="00CA4E4C">
        <w:rPr>
          <w:rFonts w:cs="Arial"/>
          <w:color w:val="000000"/>
          <w:szCs w:val="22"/>
        </w:rPr>
        <w:t>hereof</w:t>
      </w:r>
      <w:r w:rsidRPr="00CA4E4C">
        <w:rPr>
          <w:rFonts w:cs="Arial"/>
          <w:color w:val="000000"/>
          <w:spacing w:val="-6"/>
          <w:szCs w:val="22"/>
        </w:rPr>
        <w:t xml:space="preserve"> </w:t>
      </w:r>
      <w:r w:rsidRPr="00CA4E4C">
        <w:rPr>
          <w:rFonts w:cs="Arial"/>
          <w:color w:val="000000"/>
          <w:szCs w:val="22"/>
        </w:rPr>
        <w:t>either</w:t>
      </w:r>
      <w:r w:rsidRPr="00CA4E4C">
        <w:rPr>
          <w:rFonts w:cs="Arial"/>
          <w:color w:val="000000"/>
          <w:spacing w:val="-5"/>
          <w:szCs w:val="22"/>
        </w:rPr>
        <w:t xml:space="preserve"> </w:t>
      </w:r>
      <w:r w:rsidRPr="00CA4E4C">
        <w:rPr>
          <w:rFonts w:cs="Arial"/>
          <w:color w:val="000000"/>
          <w:szCs w:val="22"/>
        </w:rPr>
        <w:t>electronically</w:t>
      </w:r>
      <w:r w:rsidRPr="00CA4E4C">
        <w:rPr>
          <w:rFonts w:cs="Arial"/>
          <w:color w:val="000000"/>
          <w:spacing w:val="-13"/>
          <w:szCs w:val="22"/>
        </w:rPr>
        <w:t xml:space="preserve"> </w:t>
      </w:r>
      <w:r w:rsidRPr="00CA4E4C">
        <w:rPr>
          <w:rFonts w:cs="Arial"/>
          <w:color w:val="000000"/>
          <w:szCs w:val="22"/>
        </w:rPr>
        <w:t>or</w:t>
      </w:r>
      <w:r w:rsidRPr="00CA4E4C">
        <w:rPr>
          <w:rFonts w:cs="Arial"/>
          <w:color w:val="000000"/>
          <w:spacing w:val="-2"/>
          <w:szCs w:val="22"/>
        </w:rPr>
        <w:t xml:space="preserve"> </w:t>
      </w:r>
      <w:r w:rsidRPr="00CA4E4C">
        <w:rPr>
          <w:rFonts w:cs="Arial"/>
          <w:color w:val="000000"/>
          <w:szCs w:val="22"/>
        </w:rPr>
        <w:t>via</w:t>
      </w:r>
      <w:r w:rsidRPr="00CA4E4C">
        <w:rPr>
          <w:rFonts w:cs="Arial"/>
          <w:color w:val="000000"/>
          <w:spacing w:val="-3"/>
          <w:szCs w:val="22"/>
        </w:rPr>
        <w:t xml:space="preserve"> </w:t>
      </w:r>
      <w:r w:rsidRPr="00CA4E4C">
        <w:rPr>
          <w:rFonts w:cs="Arial"/>
          <w:color w:val="000000"/>
          <w:szCs w:val="22"/>
        </w:rPr>
        <w:t>the</w:t>
      </w:r>
      <w:r w:rsidRPr="00CA4E4C">
        <w:rPr>
          <w:rFonts w:cs="Arial"/>
          <w:color w:val="000000"/>
          <w:spacing w:val="-3"/>
          <w:szCs w:val="22"/>
        </w:rPr>
        <w:t xml:space="preserve"> </w:t>
      </w:r>
      <w:r w:rsidRPr="00CA4E4C">
        <w:rPr>
          <w:rFonts w:cs="Arial"/>
          <w:color w:val="000000"/>
          <w:szCs w:val="22"/>
        </w:rPr>
        <w:t>U.S.</w:t>
      </w:r>
      <w:r w:rsidRPr="00CA4E4C">
        <w:rPr>
          <w:rFonts w:cs="Arial"/>
          <w:color w:val="000000"/>
          <w:spacing w:val="-4"/>
          <w:szCs w:val="22"/>
        </w:rPr>
        <w:t xml:space="preserve"> </w:t>
      </w:r>
      <w:r w:rsidRPr="00CA4E4C">
        <w:rPr>
          <w:rFonts w:cs="Arial"/>
          <w:color w:val="000000"/>
          <w:szCs w:val="22"/>
        </w:rPr>
        <w:t>mail,</w:t>
      </w:r>
      <w:r w:rsidRPr="00CA4E4C">
        <w:rPr>
          <w:rFonts w:cs="Arial"/>
          <w:color w:val="000000"/>
          <w:spacing w:val="-5"/>
          <w:szCs w:val="22"/>
        </w:rPr>
        <w:t xml:space="preserve"> </w:t>
      </w:r>
      <w:r w:rsidRPr="00CA4E4C">
        <w:rPr>
          <w:rFonts w:cs="Arial"/>
          <w:color w:val="000000"/>
          <w:szCs w:val="22"/>
        </w:rPr>
        <w:t>properly</w:t>
      </w:r>
      <w:r w:rsidRPr="00CA4E4C">
        <w:rPr>
          <w:rFonts w:cs="Arial"/>
          <w:color w:val="000000"/>
          <w:spacing w:val="-8"/>
          <w:szCs w:val="22"/>
        </w:rPr>
        <w:t xml:space="preserve"> </w:t>
      </w:r>
      <w:r w:rsidRPr="00CA4E4C">
        <w:rPr>
          <w:rFonts w:cs="Arial"/>
          <w:color w:val="000000"/>
          <w:szCs w:val="22"/>
        </w:rPr>
        <w:t>stamped</w:t>
      </w:r>
      <w:r w:rsidRPr="00CA4E4C">
        <w:rPr>
          <w:rFonts w:cs="Arial"/>
          <w:color w:val="000000"/>
          <w:spacing w:val="-8"/>
          <w:szCs w:val="22"/>
        </w:rPr>
        <w:t xml:space="preserve"> </w:t>
      </w:r>
      <w:r w:rsidRPr="00CA4E4C">
        <w:rPr>
          <w:rFonts w:cs="Arial"/>
          <w:color w:val="000000"/>
          <w:szCs w:val="22"/>
        </w:rPr>
        <w:t>and</w:t>
      </w:r>
      <w:r w:rsidRPr="00CA4E4C">
        <w:rPr>
          <w:rFonts w:cs="Arial"/>
          <w:color w:val="000000"/>
          <w:spacing w:val="-4"/>
          <w:szCs w:val="22"/>
        </w:rPr>
        <w:t xml:space="preserve"> </w:t>
      </w:r>
      <w:r w:rsidRPr="00CA4E4C">
        <w:rPr>
          <w:rFonts w:cs="Arial"/>
          <w:color w:val="000000"/>
          <w:szCs w:val="22"/>
        </w:rPr>
        <w:t>addressed.</w:t>
      </w:r>
      <w:r w:rsidR="005B674C" w:rsidRPr="00CA4E4C">
        <w:rPr>
          <w:rFonts w:cs="Arial"/>
          <w:color w:val="000000"/>
          <w:szCs w:val="22"/>
        </w:rPr>
        <w:t xml:space="preserve">  </w:t>
      </w:r>
      <w:r w:rsidRPr="00CA4E4C">
        <w:rPr>
          <w:rFonts w:cs="Arial"/>
          <w:color w:val="000000"/>
          <w:szCs w:val="22"/>
        </w:rPr>
        <w:t>Address</w:t>
      </w:r>
      <w:r w:rsidRPr="00CA4E4C">
        <w:rPr>
          <w:rFonts w:cs="Arial"/>
          <w:color w:val="000000"/>
          <w:spacing w:val="-8"/>
          <w:szCs w:val="22"/>
        </w:rPr>
        <w:t xml:space="preserve"> </w:t>
      </w:r>
      <w:r w:rsidRPr="00CA4E4C">
        <w:rPr>
          <w:rFonts w:cs="Arial"/>
          <w:color w:val="000000"/>
          <w:szCs w:val="22"/>
        </w:rPr>
        <w:t>changes</w:t>
      </w:r>
      <w:r w:rsidRPr="00CA4E4C">
        <w:rPr>
          <w:rFonts w:cs="Arial"/>
          <w:color w:val="000000"/>
          <w:spacing w:val="-8"/>
          <w:szCs w:val="22"/>
        </w:rPr>
        <w:t xml:space="preserve"> </w:t>
      </w:r>
      <w:r w:rsidRPr="00CA4E4C">
        <w:rPr>
          <w:rFonts w:cs="Arial"/>
          <w:color w:val="000000"/>
          <w:szCs w:val="22"/>
        </w:rPr>
        <w:t>should</w:t>
      </w:r>
      <w:r w:rsidRPr="00CA4E4C">
        <w:rPr>
          <w:rFonts w:cs="Arial"/>
          <w:color w:val="000000"/>
          <w:spacing w:val="-6"/>
          <w:szCs w:val="22"/>
        </w:rPr>
        <w:t xml:space="preserve"> </w:t>
      </w:r>
      <w:r w:rsidRPr="00CA4E4C">
        <w:rPr>
          <w:rFonts w:cs="Arial"/>
          <w:color w:val="000000"/>
          <w:szCs w:val="22"/>
        </w:rPr>
        <w:t>be</w:t>
      </w:r>
      <w:r w:rsidRPr="00CA4E4C">
        <w:rPr>
          <w:rFonts w:cs="Arial"/>
          <w:color w:val="000000"/>
          <w:spacing w:val="-2"/>
          <w:szCs w:val="22"/>
        </w:rPr>
        <w:t xml:space="preserve"> </w:t>
      </w:r>
      <w:r w:rsidRPr="00CA4E4C">
        <w:rPr>
          <w:rFonts w:cs="Arial"/>
          <w:color w:val="000000"/>
          <w:szCs w:val="22"/>
        </w:rPr>
        <w:t>directed</w:t>
      </w:r>
      <w:r w:rsidRPr="00CA4E4C">
        <w:rPr>
          <w:rFonts w:cs="Arial"/>
          <w:color w:val="000000"/>
          <w:spacing w:val="-8"/>
          <w:szCs w:val="22"/>
        </w:rPr>
        <w:t xml:space="preserve"> </w:t>
      </w:r>
      <w:r w:rsidRPr="00CA4E4C">
        <w:rPr>
          <w:rFonts w:cs="Arial"/>
          <w:color w:val="000000"/>
          <w:szCs w:val="22"/>
        </w:rPr>
        <w:t>to</w:t>
      </w:r>
      <w:r w:rsidRPr="00CA4E4C">
        <w:rPr>
          <w:rFonts w:cs="Arial"/>
          <w:color w:val="000000"/>
          <w:spacing w:val="-2"/>
          <w:szCs w:val="22"/>
        </w:rPr>
        <w:t xml:space="preserve"> </w:t>
      </w:r>
      <w:r w:rsidRPr="00CA4E4C">
        <w:rPr>
          <w:rFonts w:cs="Arial"/>
          <w:color w:val="000000"/>
          <w:szCs w:val="22"/>
        </w:rPr>
        <w:t>the</w:t>
      </w:r>
      <w:r w:rsidRPr="00CA4E4C">
        <w:rPr>
          <w:rFonts w:cs="Arial"/>
          <w:color w:val="000000"/>
          <w:spacing w:val="-3"/>
          <w:szCs w:val="22"/>
        </w:rPr>
        <w:t xml:space="preserve"> </w:t>
      </w:r>
      <w:r w:rsidRPr="00CA4E4C">
        <w:rPr>
          <w:rFonts w:cs="Arial"/>
          <w:color w:val="000000"/>
          <w:szCs w:val="22"/>
        </w:rPr>
        <w:t>emails</w:t>
      </w:r>
      <w:r w:rsidRPr="00CA4E4C">
        <w:rPr>
          <w:rFonts w:cs="Arial"/>
          <w:color w:val="000000"/>
          <w:spacing w:val="-6"/>
          <w:szCs w:val="22"/>
        </w:rPr>
        <w:t xml:space="preserve"> </w:t>
      </w:r>
      <w:r w:rsidRPr="00CA4E4C">
        <w:rPr>
          <w:rFonts w:cs="Arial"/>
          <w:color w:val="000000"/>
          <w:szCs w:val="22"/>
        </w:rPr>
        <w:t>or</w:t>
      </w:r>
      <w:r w:rsidRPr="00CA4E4C">
        <w:rPr>
          <w:rFonts w:cs="Arial"/>
          <w:color w:val="000000"/>
          <w:spacing w:val="-2"/>
          <w:szCs w:val="22"/>
        </w:rPr>
        <w:t xml:space="preserve"> </w:t>
      </w:r>
      <w:r w:rsidRPr="00CA4E4C">
        <w:rPr>
          <w:rFonts w:cs="Arial"/>
          <w:color w:val="000000"/>
          <w:szCs w:val="22"/>
        </w:rPr>
        <w:t>facsimile</w:t>
      </w:r>
      <w:r w:rsidRPr="00CA4E4C">
        <w:rPr>
          <w:rFonts w:cs="Arial"/>
          <w:color w:val="000000"/>
          <w:spacing w:val="-9"/>
          <w:szCs w:val="22"/>
        </w:rPr>
        <w:t xml:space="preserve"> </w:t>
      </w:r>
      <w:r w:rsidRPr="00CA4E4C">
        <w:rPr>
          <w:rFonts w:cs="Arial"/>
          <w:color w:val="000000"/>
          <w:szCs w:val="22"/>
        </w:rPr>
        <w:t>numbers</w:t>
      </w:r>
      <w:r w:rsidRPr="00CA4E4C">
        <w:rPr>
          <w:rFonts w:cs="Arial"/>
          <w:color w:val="000000"/>
          <w:spacing w:val="-9"/>
          <w:szCs w:val="22"/>
        </w:rPr>
        <w:t xml:space="preserve"> </w:t>
      </w:r>
      <w:r w:rsidRPr="00CA4E4C">
        <w:rPr>
          <w:rFonts w:cs="Arial"/>
          <w:color w:val="000000"/>
          <w:szCs w:val="22"/>
        </w:rPr>
        <w:t>above.</w:t>
      </w:r>
    </w:p>
    <w:p w14:paraId="75D654CE" w14:textId="77777777" w:rsidR="007535B3" w:rsidRPr="00CA4E4C" w:rsidRDefault="007535B3" w:rsidP="007535B3">
      <w:pPr>
        <w:autoSpaceDE w:val="0"/>
        <w:autoSpaceDN w:val="0"/>
        <w:adjustRightInd w:val="0"/>
        <w:ind w:right="1723"/>
        <w:jc w:val="both"/>
        <w:rPr>
          <w:rFonts w:cs="Arial"/>
          <w:color w:val="000000"/>
          <w:szCs w:val="22"/>
        </w:rPr>
      </w:pPr>
    </w:p>
    <w:p w14:paraId="3A8058D9" w14:textId="77777777" w:rsidR="007535B3" w:rsidRPr="00CA4E4C" w:rsidRDefault="007535B3" w:rsidP="007535B3">
      <w:pPr>
        <w:autoSpaceDE w:val="0"/>
        <w:autoSpaceDN w:val="0"/>
        <w:adjustRightInd w:val="0"/>
        <w:ind w:right="1723"/>
        <w:rPr>
          <w:rFonts w:cs="Arial"/>
          <w:color w:val="000000"/>
          <w:szCs w:val="22"/>
        </w:rPr>
      </w:pPr>
    </w:p>
    <w:p w14:paraId="68DD59F7" w14:textId="77777777" w:rsidR="007535B3" w:rsidRPr="00CA4E4C" w:rsidRDefault="007535B3" w:rsidP="00E43F50">
      <w:pPr>
        <w:tabs>
          <w:tab w:val="left" w:pos="4320"/>
        </w:tabs>
        <w:autoSpaceDE w:val="0"/>
        <w:autoSpaceDN w:val="0"/>
        <w:adjustRightInd w:val="0"/>
        <w:rPr>
          <w:rFonts w:cs="Arial"/>
          <w:color w:val="000000"/>
          <w:szCs w:val="22"/>
        </w:rPr>
      </w:pPr>
      <w:r w:rsidRPr="00CA4E4C">
        <w:rPr>
          <w:rFonts w:cs="Arial"/>
          <w:color w:val="000000"/>
          <w:szCs w:val="22"/>
        </w:rPr>
        <w:tab/>
      </w:r>
      <w:r w:rsidRPr="00CA4E4C">
        <w:rPr>
          <w:rFonts w:cs="Arial"/>
          <w:color w:val="000000"/>
          <w:szCs w:val="22"/>
        </w:rPr>
        <w:tab/>
      </w:r>
      <w:r w:rsidRPr="00CA4E4C">
        <w:rPr>
          <w:rFonts w:cs="Arial"/>
          <w:color w:val="000000"/>
          <w:szCs w:val="22"/>
        </w:rPr>
        <w:tab/>
      </w:r>
      <w:r w:rsidRPr="00CA4E4C">
        <w:rPr>
          <w:rFonts w:cs="Arial"/>
          <w:color w:val="000000"/>
          <w:szCs w:val="22"/>
        </w:rPr>
        <w:tab/>
      </w:r>
      <w:r w:rsidRPr="00CA4E4C">
        <w:rPr>
          <w:rFonts w:cs="Arial"/>
          <w:color w:val="000000"/>
          <w:szCs w:val="22"/>
        </w:rPr>
        <w:tab/>
      </w:r>
      <w:r w:rsidRPr="00CA4E4C">
        <w:rPr>
          <w:rFonts w:cs="Arial"/>
          <w:color w:val="000000"/>
          <w:szCs w:val="22"/>
        </w:rPr>
        <w:tab/>
      </w:r>
      <w:r w:rsidRPr="00CA4E4C">
        <w:rPr>
          <w:rFonts w:cs="Arial"/>
          <w:szCs w:val="22"/>
        </w:rPr>
        <w:t>_______________________________</w:t>
      </w:r>
    </w:p>
    <w:p w14:paraId="0ED15078" w14:textId="77777777" w:rsidR="007535B3" w:rsidRPr="00CA4E4C" w:rsidRDefault="007535B3" w:rsidP="007535B3">
      <w:pPr>
        <w:tabs>
          <w:tab w:val="left" w:pos="4320"/>
        </w:tabs>
        <w:ind w:right="-14"/>
        <w:rPr>
          <w:rFonts w:cs="Arial"/>
          <w:szCs w:val="22"/>
        </w:rPr>
      </w:pPr>
      <w:r w:rsidRPr="00CA4E4C">
        <w:rPr>
          <w:rFonts w:cs="Arial"/>
          <w:szCs w:val="22"/>
        </w:rPr>
        <w:tab/>
        <w:t>CLAY FABER</w:t>
      </w:r>
      <w:r w:rsidR="000152AC" w:rsidRPr="00CA4E4C">
        <w:rPr>
          <w:rFonts w:cs="Arial"/>
          <w:szCs w:val="22"/>
        </w:rPr>
        <w:t xml:space="preserve"> </w:t>
      </w:r>
    </w:p>
    <w:p w14:paraId="0F08C91D" w14:textId="77777777" w:rsidR="007535B3" w:rsidRPr="00CA4E4C" w:rsidRDefault="007535B3" w:rsidP="007535B3">
      <w:pPr>
        <w:tabs>
          <w:tab w:val="left" w:pos="4320"/>
        </w:tabs>
        <w:ind w:right="-14"/>
        <w:rPr>
          <w:rFonts w:cs="Arial"/>
          <w:szCs w:val="22"/>
        </w:rPr>
      </w:pPr>
      <w:r w:rsidRPr="00CA4E4C">
        <w:rPr>
          <w:rFonts w:cs="Arial"/>
          <w:szCs w:val="22"/>
        </w:rPr>
        <w:tab/>
        <w:t xml:space="preserve">Director – </w:t>
      </w:r>
      <w:r w:rsidR="000152AC" w:rsidRPr="00CA4E4C">
        <w:rPr>
          <w:rFonts w:cs="Arial"/>
          <w:szCs w:val="22"/>
        </w:rPr>
        <w:t>California &amp; Federal Regulatory</w:t>
      </w:r>
    </w:p>
    <w:bookmarkEnd w:id="0"/>
    <w:p w14:paraId="5F1815E1" w14:textId="77777777" w:rsidR="007535B3" w:rsidRPr="00CA4E4C" w:rsidRDefault="007535B3" w:rsidP="007535B3">
      <w:pPr>
        <w:rPr>
          <w:rFonts w:cs="Arial"/>
        </w:rPr>
      </w:pPr>
    </w:p>
    <w:sectPr w:rsidR="007535B3" w:rsidRPr="00CA4E4C" w:rsidSect="00255836">
      <w:headerReference w:type="default" r:id="rId21"/>
      <w:footerReference w:type="default" r:id="rId22"/>
      <w:headerReference w:type="first" r:id="rId23"/>
      <w:endnotePr>
        <w:numFmt w:val="decimal"/>
      </w:endnotePr>
      <w:pgSz w:w="12240" w:h="15840"/>
      <w:pgMar w:top="806" w:right="1440" w:bottom="1296" w:left="1440" w:header="1152"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76E7DA" w14:textId="77777777" w:rsidR="00F43BC3" w:rsidRDefault="00F43BC3">
      <w:pPr>
        <w:spacing w:line="20" w:lineRule="exact"/>
      </w:pPr>
    </w:p>
  </w:endnote>
  <w:endnote w:type="continuationSeparator" w:id="0">
    <w:p w14:paraId="4323D6FE" w14:textId="77777777" w:rsidR="00F43BC3" w:rsidRDefault="00F43BC3">
      <w:r>
        <w:t xml:space="preserve"> </w:t>
      </w:r>
    </w:p>
  </w:endnote>
  <w:endnote w:type="continuationNotice" w:id="1">
    <w:p w14:paraId="5F81A852" w14:textId="77777777" w:rsidR="00F43BC3" w:rsidRDefault="00F43BC3">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panose1 w:val="00000000000000000000"/>
    <w:charset w:val="4D"/>
    <w:family w:val="auto"/>
    <w:notTrueType/>
    <w:pitch w:val="variable"/>
    <w:sig w:usb0="A00002FF" w:usb1="7800205A" w:usb2="14600000" w:usb3="00000000" w:csb0="00000193" w:csb1="00000000"/>
  </w:font>
  <w:font w:name="Book Antiqua">
    <w:panose1 w:val="020B0604020202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B6A23A" w14:textId="77777777" w:rsidR="00C53F61" w:rsidRDefault="00C53F61">
    <w:pPr>
      <w:pStyle w:val="Footer"/>
      <w:rPr>
        <w:sz w:val="16"/>
      </w:rPr>
    </w:pPr>
  </w:p>
  <w:p w14:paraId="5A7A60A3" w14:textId="77777777" w:rsidR="00C53F61" w:rsidRDefault="00C53F61">
    <w:pPr>
      <w:pStyle w:val="Foote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2F65F7" w14:textId="77777777" w:rsidR="00F43BC3" w:rsidRDefault="00F43BC3">
      <w:r>
        <w:separator/>
      </w:r>
    </w:p>
  </w:footnote>
  <w:footnote w:type="continuationSeparator" w:id="0">
    <w:p w14:paraId="149A04B1" w14:textId="77777777" w:rsidR="00F43BC3" w:rsidRDefault="00F43BC3">
      <w:r>
        <w:continuationSeparator/>
      </w:r>
    </w:p>
  </w:footnote>
  <w:footnote w:type="continuationNotice" w:id="1">
    <w:p w14:paraId="28D2C7B1" w14:textId="77777777" w:rsidR="00F43BC3" w:rsidRDefault="00F43BC3"/>
  </w:footnote>
  <w:footnote w:id="2">
    <w:p w14:paraId="25326A33" w14:textId="77777777" w:rsidR="00C53F61" w:rsidRPr="001F7B27" w:rsidRDefault="00C53F61">
      <w:pPr>
        <w:pStyle w:val="FootnoteText"/>
        <w:rPr>
          <w:sz w:val="18"/>
          <w:szCs w:val="18"/>
        </w:rPr>
      </w:pPr>
      <w:r w:rsidRPr="001F7B27">
        <w:rPr>
          <w:rStyle w:val="FootnoteReference"/>
          <w:sz w:val="18"/>
          <w:szCs w:val="18"/>
        </w:rPr>
        <w:footnoteRef/>
      </w:r>
      <w:r w:rsidRPr="001F7B27">
        <w:rPr>
          <w:sz w:val="18"/>
          <w:szCs w:val="18"/>
        </w:rPr>
        <w:t xml:space="preserve"> </w:t>
      </w:r>
      <w:r>
        <w:rPr>
          <w:sz w:val="18"/>
          <w:szCs w:val="18"/>
        </w:rPr>
        <w:t>OIR</w:t>
      </w:r>
      <w:r w:rsidRPr="001F7B27">
        <w:rPr>
          <w:sz w:val="18"/>
          <w:szCs w:val="18"/>
        </w:rPr>
        <w:t>13-11-005</w:t>
      </w:r>
      <w:r>
        <w:rPr>
          <w:sz w:val="18"/>
          <w:szCs w:val="18"/>
        </w:rPr>
        <w:t>.</w:t>
      </w:r>
    </w:p>
  </w:footnote>
  <w:footnote w:id="3">
    <w:p w14:paraId="1A20DAE8" w14:textId="77777777" w:rsidR="00C53F61" w:rsidRPr="00A242D2" w:rsidRDefault="00C53F61">
      <w:pPr>
        <w:pStyle w:val="FootnoteText"/>
        <w:rPr>
          <w:sz w:val="18"/>
          <w:szCs w:val="18"/>
        </w:rPr>
      </w:pPr>
      <w:r>
        <w:rPr>
          <w:rStyle w:val="FootnoteReference"/>
        </w:rPr>
        <w:footnoteRef/>
      </w:r>
      <w:r>
        <w:t xml:space="preserve"> </w:t>
      </w:r>
      <w:r w:rsidRPr="00A242D2">
        <w:rPr>
          <w:sz w:val="18"/>
          <w:szCs w:val="18"/>
        </w:rPr>
        <w:t>Application 17-01-014.</w:t>
      </w:r>
    </w:p>
  </w:footnote>
  <w:footnote w:id="4">
    <w:p w14:paraId="797AA87B" w14:textId="77777777" w:rsidR="00C53F61" w:rsidRPr="001F7B27" w:rsidRDefault="00C53F61" w:rsidP="00930BC8">
      <w:pPr>
        <w:pStyle w:val="FootnoteText"/>
        <w:rPr>
          <w:sz w:val="18"/>
          <w:szCs w:val="18"/>
        </w:rPr>
      </w:pPr>
      <w:r w:rsidRPr="001F7B27">
        <w:rPr>
          <w:rStyle w:val="FootnoteReference"/>
          <w:sz w:val="18"/>
          <w:szCs w:val="18"/>
        </w:rPr>
        <w:footnoteRef/>
      </w:r>
      <w:r w:rsidRPr="001F7B27">
        <w:rPr>
          <w:sz w:val="18"/>
          <w:szCs w:val="18"/>
        </w:rPr>
        <w:t xml:space="preserve"> </w:t>
      </w:r>
      <w:r w:rsidRPr="00A242D2">
        <w:rPr>
          <w:sz w:val="18"/>
          <w:szCs w:val="18"/>
        </w:rPr>
        <w:t xml:space="preserve">CEDARS is available at </w:t>
      </w:r>
      <w:hyperlink r:id="rId1" w:history="1">
        <w:r w:rsidRPr="00A242D2">
          <w:rPr>
            <w:rStyle w:val="Hyperlink"/>
            <w:sz w:val="18"/>
            <w:szCs w:val="18"/>
          </w:rPr>
          <w:t>https://cedars.sound-data.com/</w:t>
        </w:r>
      </w:hyperlink>
      <w:r w:rsidRPr="00A242D2">
        <w:rPr>
          <w:sz w:val="18"/>
          <w:szCs w:val="18"/>
        </w:rPr>
        <w:t>.</w:t>
      </w:r>
      <w:r w:rsidRPr="001F7B27">
        <w:rPr>
          <w:sz w:val="18"/>
          <w:szCs w:val="18"/>
        </w:rPr>
        <w:t xml:space="preserve"> </w:t>
      </w:r>
    </w:p>
  </w:footnote>
  <w:footnote w:id="5">
    <w:p w14:paraId="719E6B58" w14:textId="77777777" w:rsidR="00C53F61" w:rsidRPr="001F7B27" w:rsidRDefault="00C53F61">
      <w:pPr>
        <w:pStyle w:val="FootnoteText"/>
        <w:rPr>
          <w:sz w:val="18"/>
          <w:szCs w:val="18"/>
        </w:rPr>
      </w:pPr>
      <w:r w:rsidRPr="001F7B27">
        <w:rPr>
          <w:rStyle w:val="FootnoteReference"/>
          <w:sz w:val="18"/>
          <w:szCs w:val="18"/>
        </w:rPr>
        <w:footnoteRef/>
      </w:r>
      <w:r w:rsidRPr="001F7B27">
        <w:rPr>
          <w:sz w:val="18"/>
          <w:szCs w:val="18"/>
        </w:rPr>
        <w:t xml:space="preserve"> D.18-05-041, p. 71.</w:t>
      </w:r>
    </w:p>
  </w:footnote>
  <w:footnote w:id="6">
    <w:p w14:paraId="65890820" w14:textId="13D358FC" w:rsidR="00C53F61" w:rsidRPr="00A242D2" w:rsidRDefault="00C53F61">
      <w:pPr>
        <w:pStyle w:val="FootnoteText"/>
        <w:rPr>
          <w:sz w:val="18"/>
          <w:szCs w:val="18"/>
        </w:rPr>
      </w:pPr>
      <w:r w:rsidRPr="001F7B27">
        <w:rPr>
          <w:rStyle w:val="FootnoteReference"/>
          <w:sz w:val="18"/>
          <w:szCs w:val="18"/>
        </w:rPr>
        <w:footnoteRef/>
      </w:r>
      <w:r w:rsidRPr="001F7B27">
        <w:rPr>
          <w:sz w:val="18"/>
          <w:szCs w:val="18"/>
        </w:rPr>
        <w:t xml:space="preserve"> </w:t>
      </w:r>
      <w:r w:rsidRPr="001F7B27">
        <w:rPr>
          <w:i/>
          <w:sz w:val="18"/>
          <w:szCs w:val="18"/>
        </w:rPr>
        <w:t>Id</w:t>
      </w:r>
      <w:r w:rsidRPr="001F7B27">
        <w:rPr>
          <w:sz w:val="18"/>
          <w:szCs w:val="18"/>
        </w:rPr>
        <w:t>., p</w:t>
      </w:r>
      <w:r w:rsidR="00897E92">
        <w:rPr>
          <w:sz w:val="18"/>
          <w:szCs w:val="18"/>
        </w:rPr>
        <w:t>p</w:t>
      </w:r>
      <w:r w:rsidRPr="001F7B27">
        <w:rPr>
          <w:sz w:val="18"/>
          <w:szCs w:val="18"/>
        </w:rPr>
        <w:t>.</w:t>
      </w:r>
      <w:r w:rsidR="00897E92">
        <w:rPr>
          <w:sz w:val="18"/>
          <w:szCs w:val="18"/>
        </w:rPr>
        <w:t xml:space="preserve"> </w:t>
      </w:r>
      <w:r w:rsidRPr="001F7B27">
        <w:rPr>
          <w:sz w:val="18"/>
          <w:szCs w:val="18"/>
        </w:rPr>
        <w:t>135-137.</w:t>
      </w:r>
    </w:p>
  </w:footnote>
  <w:footnote w:id="7">
    <w:p w14:paraId="5509A8E3" w14:textId="77777777" w:rsidR="00C53F61" w:rsidRPr="00A242D2" w:rsidRDefault="00C53F61">
      <w:pPr>
        <w:pStyle w:val="FootnoteText"/>
        <w:rPr>
          <w:sz w:val="18"/>
          <w:szCs w:val="18"/>
        </w:rPr>
      </w:pPr>
      <w:r>
        <w:rPr>
          <w:rStyle w:val="FootnoteReference"/>
        </w:rPr>
        <w:footnoteRef/>
      </w:r>
      <w:r>
        <w:t xml:space="preserve"> </w:t>
      </w:r>
      <w:r w:rsidRPr="00A242D2">
        <w:rPr>
          <w:i/>
          <w:sz w:val="18"/>
          <w:szCs w:val="18"/>
        </w:rPr>
        <w:t>Id</w:t>
      </w:r>
      <w:r w:rsidRPr="00A242D2">
        <w:rPr>
          <w:sz w:val="18"/>
          <w:szCs w:val="18"/>
        </w:rPr>
        <w:t>., OP 45, p. 192.</w:t>
      </w:r>
    </w:p>
  </w:footnote>
  <w:footnote w:id="8">
    <w:p w14:paraId="6EA0F091" w14:textId="77777777" w:rsidR="00C53F61" w:rsidRPr="00A242D2" w:rsidRDefault="00C53F61">
      <w:pPr>
        <w:pStyle w:val="FootnoteText"/>
        <w:rPr>
          <w:sz w:val="18"/>
          <w:szCs w:val="18"/>
        </w:rPr>
      </w:pPr>
      <w:r>
        <w:rPr>
          <w:rStyle w:val="FootnoteReference"/>
        </w:rPr>
        <w:footnoteRef/>
      </w:r>
      <w:r>
        <w:t xml:space="preserve"> </w:t>
      </w:r>
      <w:r w:rsidRPr="00A242D2">
        <w:rPr>
          <w:i/>
          <w:sz w:val="18"/>
          <w:szCs w:val="18"/>
        </w:rPr>
        <w:t>Id</w:t>
      </w:r>
      <w:r w:rsidRPr="00A242D2">
        <w:rPr>
          <w:sz w:val="18"/>
          <w:szCs w:val="18"/>
        </w:rPr>
        <w:t>., pp. 128-129.</w:t>
      </w:r>
    </w:p>
  </w:footnote>
  <w:footnote w:id="9">
    <w:p w14:paraId="2F39DE4B" w14:textId="77777777" w:rsidR="00C53F61" w:rsidRDefault="00C53F61">
      <w:pPr>
        <w:pStyle w:val="FootnoteText"/>
      </w:pPr>
      <w:r>
        <w:rPr>
          <w:rStyle w:val="FootnoteReference"/>
        </w:rPr>
        <w:footnoteRef/>
      </w:r>
      <w:r>
        <w:t xml:space="preserve"> </w:t>
      </w:r>
      <w:r w:rsidRPr="00A242D2">
        <w:rPr>
          <w:sz w:val="18"/>
          <w:szCs w:val="18"/>
        </w:rPr>
        <w:t>OIR13-11-005.</w:t>
      </w:r>
    </w:p>
  </w:footnote>
  <w:footnote w:id="10">
    <w:p w14:paraId="0E25881A" w14:textId="715D30BD" w:rsidR="002178C5" w:rsidRDefault="002178C5">
      <w:pPr>
        <w:pStyle w:val="FootnoteText"/>
      </w:pPr>
      <w:r>
        <w:rPr>
          <w:rStyle w:val="FootnoteReference"/>
        </w:rPr>
        <w:footnoteRef/>
      </w:r>
      <w:r>
        <w:t xml:space="preserve"> D.18-05-041, p. 126-127.</w:t>
      </w:r>
    </w:p>
  </w:footnote>
  <w:footnote w:id="11">
    <w:p w14:paraId="61331E94" w14:textId="6867B807" w:rsidR="00630D3D" w:rsidRPr="00A242D2" w:rsidRDefault="00630D3D">
      <w:pPr>
        <w:pStyle w:val="FootnoteText"/>
        <w:rPr>
          <w:sz w:val="18"/>
          <w:szCs w:val="18"/>
        </w:rPr>
      </w:pPr>
      <w:r>
        <w:rPr>
          <w:rStyle w:val="FootnoteReference"/>
        </w:rPr>
        <w:footnoteRef/>
      </w:r>
      <w:r>
        <w:t xml:space="preserve"> </w:t>
      </w:r>
      <w:r w:rsidRPr="00A242D2">
        <w:rPr>
          <w:sz w:val="18"/>
          <w:szCs w:val="18"/>
        </w:rPr>
        <w:t>See http://eestats.cpuc.ca.gov/Views/Documents.aspx.</w:t>
      </w:r>
    </w:p>
  </w:footnote>
  <w:footnote w:id="12">
    <w:p w14:paraId="716276C5" w14:textId="77777777" w:rsidR="00C53F61" w:rsidRPr="00A242D2" w:rsidRDefault="00C53F61">
      <w:pPr>
        <w:pStyle w:val="FootnoteText"/>
        <w:rPr>
          <w:sz w:val="18"/>
          <w:szCs w:val="18"/>
        </w:rPr>
      </w:pPr>
      <w:r>
        <w:rPr>
          <w:rStyle w:val="FootnoteReference"/>
        </w:rPr>
        <w:footnoteRef/>
      </w:r>
      <w:r>
        <w:t xml:space="preserve"> </w:t>
      </w:r>
      <w:r w:rsidRPr="00A242D2">
        <w:rPr>
          <w:sz w:val="18"/>
          <w:szCs w:val="18"/>
        </w:rPr>
        <w:t>D.18-05-041, p. 18.</w:t>
      </w:r>
    </w:p>
  </w:footnote>
  <w:footnote w:id="13">
    <w:p w14:paraId="697361D2" w14:textId="77777777" w:rsidR="00601EC2" w:rsidRPr="00A242D2" w:rsidRDefault="00601EC2" w:rsidP="00601EC2">
      <w:pPr>
        <w:pStyle w:val="FootnoteText"/>
        <w:rPr>
          <w:sz w:val="18"/>
          <w:szCs w:val="18"/>
        </w:rPr>
      </w:pPr>
      <w:r>
        <w:rPr>
          <w:rStyle w:val="FootnoteReference"/>
        </w:rPr>
        <w:footnoteRef/>
      </w:r>
      <w:r>
        <w:t xml:space="preserve"> </w:t>
      </w:r>
      <w:r w:rsidRPr="00A242D2">
        <w:rPr>
          <w:sz w:val="18"/>
          <w:szCs w:val="18"/>
        </w:rPr>
        <w:t xml:space="preserve">Refer to most current solicitation schedule available at </w:t>
      </w:r>
      <w:hyperlink r:id="rId2" w:history="1">
        <w:r w:rsidRPr="00A242D2">
          <w:rPr>
            <w:rStyle w:val="Hyperlink"/>
            <w:sz w:val="18"/>
            <w:szCs w:val="18"/>
          </w:rPr>
          <w:t>https://www.sdge.com/documents/consolidated-iou-solicitation-timeline</w:t>
        </w:r>
      </w:hyperlink>
      <w:r w:rsidRPr="00A242D2">
        <w:rPr>
          <w:sz w:val="18"/>
          <w:szCs w:val="18"/>
        </w:rPr>
        <w:t xml:space="preserve">. </w:t>
      </w:r>
    </w:p>
  </w:footnote>
  <w:footnote w:id="14">
    <w:p w14:paraId="0A7C91AE" w14:textId="77777777" w:rsidR="00C53F61" w:rsidRPr="00A242D2" w:rsidRDefault="00C53F61">
      <w:pPr>
        <w:pStyle w:val="FootnoteText"/>
        <w:rPr>
          <w:sz w:val="18"/>
          <w:szCs w:val="18"/>
        </w:rPr>
      </w:pPr>
      <w:r>
        <w:rPr>
          <w:rStyle w:val="FootnoteReference"/>
        </w:rPr>
        <w:footnoteRef/>
      </w:r>
      <w:r>
        <w:t xml:space="preserve"> </w:t>
      </w:r>
      <w:r w:rsidRPr="00A242D2">
        <w:rPr>
          <w:sz w:val="18"/>
          <w:szCs w:val="18"/>
        </w:rPr>
        <w:t>D.18-05-041, pp. 92-93.</w:t>
      </w:r>
    </w:p>
  </w:footnote>
  <w:footnote w:id="15">
    <w:p w14:paraId="67ED7243" w14:textId="77777777" w:rsidR="00495B84" w:rsidRPr="00A242D2" w:rsidRDefault="00495B84">
      <w:pPr>
        <w:pStyle w:val="FootnoteText"/>
        <w:rPr>
          <w:sz w:val="18"/>
          <w:szCs w:val="18"/>
        </w:rPr>
      </w:pPr>
      <w:r>
        <w:rPr>
          <w:rStyle w:val="FootnoteReference"/>
        </w:rPr>
        <w:footnoteRef/>
      </w:r>
      <w:r>
        <w:t xml:space="preserve"> </w:t>
      </w:r>
      <w:r w:rsidR="00080499" w:rsidRPr="00A242D2">
        <w:rPr>
          <w:i/>
          <w:sz w:val="18"/>
          <w:szCs w:val="18"/>
        </w:rPr>
        <w:t>Energy Efficiency Policy Manual Version 5</w:t>
      </w:r>
      <w:r w:rsidR="00080499" w:rsidRPr="00A242D2">
        <w:rPr>
          <w:sz w:val="18"/>
          <w:szCs w:val="18"/>
        </w:rPr>
        <w:t>, July 2013, p. 91.</w:t>
      </w:r>
    </w:p>
  </w:footnote>
  <w:footnote w:id="16">
    <w:p w14:paraId="38E74103" w14:textId="77777777" w:rsidR="003A5F58" w:rsidRDefault="003A5F58" w:rsidP="003A5F58">
      <w:pPr>
        <w:pStyle w:val="FootnoteText"/>
      </w:pPr>
      <w:r>
        <w:rPr>
          <w:rStyle w:val="FootnoteReference"/>
        </w:rPr>
        <w:footnoteRef/>
      </w:r>
      <w:r>
        <w:t xml:space="preserve"> See footnote 11.</w:t>
      </w:r>
    </w:p>
  </w:footnote>
  <w:footnote w:id="17">
    <w:p w14:paraId="7DCA601B" w14:textId="16384D65" w:rsidR="00726A9D" w:rsidRPr="00A242D2" w:rsidRDefault="00726A9D" w:rsidP="00726A9D">
      <w:pPr>
        <w:pStyle w:val="FootnoteText"/>
        <w:rPr>
          <w:sz w:val="18"/>
          <w:szCs w:val="18"/>
        </w:rPr>
      </w:pPr>
      <w:r>
        <w:rPr>
          <w:rStyle w:val="FootnoteReference"/>
        </w:rPr>
        <w:footnoteRef/>
      </w:r>
      <w:r>
        <w:t xml:space="preserve"> </w:t>
      </w:r>
      <w:r w:rsidRPr="00726A9D">
        <w:rPr>
          <w:i/>
          <w:sz w:val="18"/>
          <w:szCs w:val="18"/>
        </w:rPr>
        <w:t xml:space="preserve">San Diego Gas &amp; Electric Company’s (U 902-M) Updated Set </w:t>
      </w:r>
      <w:r w:rsidR="00A242D2">
        <w:rPr>
          <w:i/>
          <w:sz w:val="18"/>
          <w:szCs w:val="18"/>
        </w:rPr>
        <w:t>o</w:t>
      </w:r>
      <w:r w:rsidRPr="00726A9D">
        <w:rPr>
          <w:i/>
          <w:sz w:val="18"/>
          <w:szCs w:val="18"/>
        </w:rPr>
        <w:t>f Final Metrics</w:t>
      </w:r>
      <w:r w:rsidRPr="00726A9D">
        <w:rPr>
          <w:sz w:val="18"/>
          <w:szCs w:val="18"/>
        </w:rPr>
        <w:t xml:space="preserve">, </w:t>
      </w:r>
      <w:r w:rsidRPr="00A242D2">
        <w:rPr>
          <w:sz w:val="18"/>
          <w:szCs w:val="18"/>
        </w:rPr>
        <w:t>August 6, 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1481FA" w14:textId="5FE2D57E" w:rsidR="00C53F61" w:rsidRDefault="00F43BC3">
    <w:pPr>
      <w:pStyle w:val="Header"/>
      <w:tabs>
        <w:tab w:val="clear" w:pos="4320"/>
        <w:tab w:val="clear" w:pos="8640"/>
        <w:tab w:val="center" w:pos="4770"/>
        <w:tab w:val="right" w:pos="9360"/>
      </w:tabs>
      <w:ind w:right="630"/>
      <w:rPr>
        <w:rStyle w:val="PageNumber"/>
        <w:bCs/>
      </w:rPr>
    </w:pPr>
    <w:sdt>
      <w:sdtPr>
        <w:rPr>
          <w:bCs/>
        </w:rPr>
        <w:id w:val="1081412708"/>
        <w:docPartObj>
          <w:docPartGallery w:val="Watermarks"/>
          <w:docPartUnique/>
        </w:docPartObj>
      </w:sdtPr>
      <w:sdtEndPr/>
      <w:sdtContent>
        <w:r>
          <w:rPr>
            <w:bCs/>
            <w:noProof/>
          </w:rPr>
          <w:pict w14:anchorId="1574609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alt="" style="position:absolute;margin-left:0;margin-top:0;width:412.4pt;height:247.45pt;rotation:315;z-index:-25165824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sdtContent>
    </w:sdt>
    <w:r w:rsidR="00C53F61">
      <w:rPr>
        <w:noProof/>
      </w:rPr>
      <mc:AlternateContent>
        <mc:Choice Requires="wps">
          <w:drawing>
            <wp:anchor distT="0" distB="0" distL="114300" distR="114300" simplePos="0" relativeHeight="251657216" behindDoc="0" locked="0" layoutInCell="1" allowOverlap="1" wp14:anchorId="2CAA7BE4" wp14:editId="235F970C">
              <wp:simplePos x="0" y="0"/>
              <wp:positionH relativeFrom="margin">
                <wp:posOffset>6177280</wp:posOffset>
              </wp:positionH>
              <wp:positionV relativeFrom="margin">
                <wp:posOffset>-795020</wp:posOffset>
              </wp:positionV>
              <wp:extent cx="272415" cy="26670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030474" w14:textId="77777777" w:rsidR="00C53F61" w:rsidRDefault="00C53F61" w:rsidP="00C52843"/>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CAA7BE4" id="_x0000_t202" coordsize="21600,21600" o:spt="202" path="m,l,21600r21600,l21600,xe">
              <v:stroke joinstyle="miter"/>
              <v:path gradientshapeok="t" o:connecttype="rect"/>
            </v:shapetype>
            <v:shape id="Text Box 2" o:spid="_x0000_s1027" type="#_x0000_t202" style="position:absolute;margin-left:486.4pt;margin-top:-62.6pt;width:21.45pt;height:21pt;z-index:251658240;visibility:visible;mso-wrap-style:square;mso-width-percent:0;mso-height-percent:200;mso-wrap-distance-left:9pt;mso-wrap-distance-top:0;mso-wrap-distance-right:9pt;mso-wrap-distance-bottom:0;mso-position-horizontal:absolute;mso-position-horizontal-relative:margin;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" stroked="f">
              <v:textbox style="mso-fit-shape-to-text:t">
                <w:txbxContent>
                  <w:p w14:paraId="2D030474" w14:textId="77777777" w:rsidR="00C53F61" w:rsidRDefault="00C53F61" w:rsidP="00C52843"/>
                </w:txbxContent>
              </v:textbox>
              <w10:wrap type="square" anchorx="margin" anchory="margin"/>
            </v:shape>
          </w:pict>
        </mc:Fallback>
      </mc:AlternateContent>
    </w:r>
    <w:r w:rsidR="00C53F61">
      <w:rPr>
        <w:bCs/>
      </w:rPr>
      <w:t>Public Utilities Commission</w:t>
    </w:r>
    <w:r w:rsidR="00C53F61">
      <w:rPr>
        <w:bCs/>
      </w:rPr>
      <w:tab/>
    </w:r>
    <w:r w:rsidR="00C53F61">
      <w:rPr>
        <w:rStyle w:val="PageNumber"/>
        <w:bCs/>
      </w:rPr>
      <w:fldChar w:fldCharType="begin"/>
    </w:r>
    <w:r w:rsidR="00C53F61">
      <w:rPr>
        <w:rStyle w:val="PageNumber"/>
        <w:bCs/>
      </w:rPr>
      <w:instrText xml:space="preserve"> PAGE </w:instrText>
    </w:r>
    <w:r w:rsidR="00C53F61">
      <w:rPr>
        <w:rStyle w:val="PageNumber"/>
        <w:bCs/>
      </w:rPr>
      <w:fldChar w:fldCharType="separate"/>
    </w:r>
    <w:r w:rsidR="00C53F61">
      <w:rPr>
        <w:rStyle w:val="PageNumber"/>
        <w:bCs/>
        <w:noProof/>
      </w:rPr>
      <w:t>2</w:t>
    </w:r>
    <w:r w:rsidR="00C53F61">
      <w:rPr>
        <w:rStyle w:val="PageNumber"/>
        <w:bCs/>
      </w:rPr>
      <w:fldChar w:fldCharType="end"/>
    </w:r>
    <w:r w:rsidR="00C53F61">
      <w:rPr>
        <w:rStyle w:val="PageNumber"/>
        <w:b/>
      </w:rPr>
      <w:tab/>
    </w:r>
    <w:r w:rsidR="00C53F61">
      <w:rPr>
        <w:rStyle w:val="PageNumber"/>
      </w:rPr>
      <w:t xml:space="preserve">September </w:t>
    </w:r>
    <w:r w:rsidR="00EF1F05">
      <w:rPr>
        <w:rStyle w:val="PageNumber"/>
      </w:rPr>
      <w:t>3,2019</w:t>
    </w:r>
  </w:p>
  <w:p w14:paraId="54CB36CD" w14:textId="77777777" w:rsidR="00C53F61" w:rsidRDefault="00C53F61">
    <w:pPr>
      <w:pStyle w:val="Header"/>
      <w:tabs>
        <w:tab w:val="clear" w:pos="4320"/>
        <w:tab w:val="clear" w:pos="8640"/>
        <w:tab w:val="center" w:pos="4770"/>
        <w:tab w:val="right" w:pos="9360"/>
      </w:tabs>
      <w:ind w:right="630"/>
      <w:rPr>
        <w:bC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DC5297" w14:textId="0FFC4EAA" w:rsidR="00F051B4" w:rsidRPr="00F051B4" w:rsidRDefault="00F051B4" w:rsidP="00F051B4">
    <w:pPr>
      <w:pStyle w:val="Header"/>
      <w:jc w:val="center"/>
      <w:rPr>
        <w:b/>
        <w:sz w:val="52"/>
        <w:szCs w:val="52"/>
      </w:rPr>
    </w:pPr>
    <w:r w:rsidRPr="00F051B4">
      <w:rPr>
        <w:b/>
        <w:sz w:val="52"/>
        <w:szCs w:val="52"/>
      </w:rPr>
      <w:t>DRAFT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1BC1CD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DC04E9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B5AC28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89A75C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212B07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008F39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04E9EA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C660E1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728B0E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B6A31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585F60"/>
    <w:multiLevelType w:val="hybridMultilevel"/>
    <w:tmpl w:val="50F89A1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3F19EF"/>
    <w:multiLevelType w:val="hybridMultilevel"/>
    <w:tmpl w:val="99AE3040"/>
    <w:lvl w:ilvl="0" w:tplc="BE848344">
      <w:start w:val="1"/>
      <w:numFmt w:val="bullet"/>
      <w:pStyle w:val="Bullet1"/>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E0F64EB"/>
    <w:multiLevelType w:val="hybridMultilevel"/>
    <w:tmpl w:val="923ED5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2323D7"/>
    <w:multiLevelType w:val="hybridMultilevel"/>
    <w:tmpl w:val="3A6CBF0E"/>
    <w:lvl w:ilvl="0" w:tplc="BD7849D2">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1B4CD8"/>
    <w:multiLevelType w:val="hybridMultilevel"/>
    <w:tmpl w:val="7E04E66C"/>
    <w:lvl w:ilvl="0" w:tplc="04090001">
      <w:start w:val="1"/>
      <w:numFmt w:val="bullet"/>
      <w:lvlText w:val=""/>
      <w:lvlJc w:val="left"/>
      <w:pPr>
        <w:ind w:left="2088" w:hanging="360"/>
      </w:pPr>
      <w:rPr>
        <w:rFonts w:ascii="Symbol" w:hAnsi="Symbol" w:hint="default"/>
      </w:rPr>
    </w:lvl>
    <w:lvl w:ilvl="1" w:tplc="04090003" w:tentative="1">
      <w:start w:val="1"/>
      <w:numFmt w:val="bullet"/>
      <w:lvlText w:val="o"/>
      <w:lvlJc w:val="left"/>
      <w:pPr>
        <w:ind w:left="2808" w:hanging="360"/>
      </w:pPr>
      <w:rPr>
        <w:rFonts w:ascii="Courier New" w:hAnsi="Courier New" w:cs="Courier New" w:hint="default"/>
      </w:rPr>
    </w:lvl>
    <w:lvl w:ilvl="2" w:tplc="04090005" w:tentative="1">
      <w:start w:val="1"/>
      <w:numFmt w:val="bullet"/>
      <w:lvlText w:val=""/>
      <w:lvlJc w:val="left"/>
      <w:pPr>
        <w:ind w:left="3528" w:hanging="360"/>
      </w:pPr>
      <w:rPr>
        <w:rFonts w:ascii="Wingdings" w:hAnsi="Wingdings" w:hint="default"/>
      </w:rPr>
    </w:lvl>
    <w:lvl w:ilvl="3" w:tplc="04090001" w:tentative="1">
      <w:start w:val="1"/>
      <w:numFmt w:val="bullet"/>
      <w:lvlText w:val=""/>
      <w:lvlJc w:val="left"/>
      <w:pPr>
        <w:ind w:left="4248" w:hanging="360"/>
      </w:pPr>
      <w:rPr>
        <w:rFonts w:ascii="Symbol" w:hAnsi="Symbol" w:hint="default"/>
      </w:rPr>
    </w:lvl>
    <w:lvl w:ilvl="4" w:tplc="04090003" w:tentative="1">
      <w:start w:val="1"/>
      <w:numFmt w:val="bullet"/>
      <w:lvlText w:val="o"/>
      <w:lvlJc w:val="left"/>
      <w:pPr>
        <w:ind w:left="4968" w:hanging="360"/>
      </w:pPr>
      <w:rPr>
        <w:rFonts w:ascii="Courier New" w:hAnsi="Courier New" w:cs="Courier New" w:hint="default"/>
      </w:rPr>
    </w:lvl>
    <w:lvl w:ilvl="5" w:tplc="04090005" w:tentative="1">
      <w:start w:val="1"/>
      <w:numFmt w:val="bullet"/>
      <w:lvlText w:val=""/>
      <w:lvlJc w:val="left"/>
      <w:pPr>
        <w:ind w:left="5688" w:hanging="360"/>
      </w:pPr>
      <w:rPr>
        <w:rFonts w:ascii="Wingdings" w:hAnsi="Wingdings" w:hint="default"/>
      </w:rPr>
    </w:lvl>
    <w:lvl w:ilvl="6" w:tplc="04090001" w:tentative="1">
      <w:start w:val="1"/>
      <w:numFmt w:val="bullet"/>
      <w:lvlText w:val=""/>
      <w:lvlJc w:val="left"/>
      <w:pPr>
        <w:ind w:left="6408" w:hanging="360"/>
      </w:pPr>
      <w:rPr>
        <w:rFonts w:ascii="Symbol" w:hAnsi="Symbol" w:hint="default"/>
      </w:rPr>
    </w:lvl>
    <w:lvl w:ilvl="7" w:tplc="04090003" w:tentative="1">
      <w:start w:val="1"/>
      <w:numFmt w:val="bullet"/>
      <w:lvlText w:val="o"/>
      <w:lvlJc w:val="left"/>
      <w:pPr>
        <w:ind w:left="7128" w:hanging="360"/>
      </w:pPr>
      <w:rPr>
        <w:rFonts w:ascii="Courier New" w:hAnsi="Courier New" w:cs="Courier New" w:hint="default"/>
      </w:rPr>
    </w:lvl>
    <w:lvl w:ilvl="8" w:tplc="04090005" w:tentative="1">
      <w:start w:val="1"/>
      <w:numFmt w:val="bullet"/>
      <w:lvlText w:val=""/>
      <w:lvlJc w:val="left"/>
      <w:pPr>
        <w:ind w:left="7848" w:hanging="360"/>
      </w:pPr>
      <w:rPr>
        <w:rFonts w:ascii="Wingdings" w:hAnsi="Wingdings" w:hint="default"/>
      </w:rPr>
    </w:lvl>
  </w:abstractNum>
  <w:abstractNum w:abstractNumId="15" w15:restartNumberingAfterBreak="0">
    <w:nsid w:val="4BFD77A8"/>
    <w:multiLevelType w:val="hybridMultilevel"/>
    <w:tmpl w:val="C03896B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51A1116"/>
    <w:multiLevelType w:val="hybridMultilevel"/>
    <w:tmpl w:val="798C5454"/>
    <w:lvl w:ilvl="0" w:tplc="6CBE1714">
      <w:start w:val="1"/>
      <w:numFmt w:val="decimal"/>
      <w:lvlText w:val="(%1)"/>
      <w:lvlJc w:val="left"/>
      <w:pPr>
        <w:tabs>
          <w:tab w:val="num" w:pos="720"/>
        </w:tabs>
        <w:ind w:left="720" w:hanging="360"/>
      </w:pPr>
    </w:lvl>
    <w:lvl w:ilvl="1" w:tplc="B9DCCAF2" w:tentative="1">
      <w:start w:val="1"/>
      <w:numFmt w:val="decimal"/>
      <w:lvlText w:val="(%2)"/>
      <w:lvlJc w:val="left"/>
      <w:pPr>
        <w:tabs>
          <w:tab w:val="num" w:pos="1440"/>
        </w:tabs>
        <w:ind w:left="1440" w:hanging="360"/>
      </w:pPr>
    </w:lvl>
    <w:lvl w:ilvl="2" w:tplc="635423D6" w:tentative="1">
      <w:start w:val="1"/>
      <w:numFmt w:val="decimal"/>
      <w:lvlText w:val="(%3)"/>
      <w:lvlJc w:val="left"/>
      <w:pPr>
        <w:tabs>
          <w:tab w:val="num" w:pos="2160"/>
        </w:tabs>
        <w:ind w:left="2160" w:hanging="360"/>
      </w:pPr>
    </w:lvl>
    <w:lvl w:ilvl="3" w:tplc="0EEA84D8" w:tentative="1">
      <w:start w:val="1"/>
      <w:numFmt w:val="decimal"/>
      <w:lvlText w:val="(%4)"/>
      <w:lvlJc w:val="left"/>
      <w:pPr>
        <w:tabs>
          <w:tab w:val="num" w:pos="2880"/>
        </w:tabs>
        <w:ind w:left="2880" w:hanging="360"/>
      </w:pPr>
    </w:lvl>
    <w:lvl w:ilvl="4" w:tplc="DCB0032E" w:tentative="1">
      <w:start w:val="1"/>
      <w:numFmt w:val="decimal"/>
      <w:lvlText w:val="(%5)"/>
      <w:lvlJc w:val="left"/>
      <w:pPr>
        <w:tabs>
          <w:tab w:val="num" w:pos="3600"/>
        </w:tabs>
        <w:ind w:left="3600" w:hanging="360"/>
      </w:pPr>
    </w:lvl>
    <w:lvl w:ilvl="5" w:tplc="51BC347C" w:tentative="1">
      <w:start w:val="1"/>
      <w:numFmt w:val="decimal"/>
      <w:lvlText w:val="(%6)"/>
      <w:lvlJc w:val="left"/>
      <w:pPr>
        <w:tabs>
          <w:tab w:val="num" w:pos="4320"/>
        </w:tabs>
        <w:ind w:left="4320" w:hanging="360"/>
      </w:pPr>
    </w:lvl>
    <w:lvl w:ilvl="6" w:tplc="F5E01822" w:tentative="1">
      <w:start w:val="1"/>
      <w:numFmt w:val="decimal"/>
      <w:lvlText w:val="(%7)"/>
      <w:lvlJc w:val="left"/>
      <w:pPr>
        <w:tabs>
          <w:tab w:val="num" w:pos="5040"/>
        </w:tabs>
        <w:ind w:left="5040" w:hanging="360"/>
      </w:pPr>
    </w:lvl>
    <w:lvl w:ilvl="7" w:tplc="28CEEBE8" w:tentative="1">
      <w:start w:val="1"/>
      <w:numFmt w:val="decimal"/>
      <w:lvlText w:val="(%8)"/>
      <w:lvlJc w:val="left"/>
      <w:pPr>
        <w:tabs>
          <w:tab w:val="num" w:pos="5760"/>
        </w:tabs>
        <w:ind w:left="5760" w:hanging="360"/>
      </w:pPr>
    </w:lvl>
    <w:lvl w:ilvl="8" w:tplc="C3A06622" w:tentative="1">
      <w:start w:val="1"/>
      <w:numFmt w:val="decimal"/>
      <w:lvlText w:val="(%9)"/>
      <w:lvlJc w:val="left"/>
      <w:pPr>
        <w:tabs>
          <w:tab w:val="num" w:pos="6480"/>
        </w:tabs>
        <w:ind w:left="6480" w:hanging="360"/>
      </w:pPr>
    </w:lvl>
  </w:abstractNum>
  <w:abstractNum w:abstractNumId="17" w15:restartNumberingAfterBreak="0">
    <w:nsid w:val="59DD4B11"/>
    <w:multiLevelType w:val="hybridMultilevel"/>
    <w:tmpl w:val="20D85E04"/>
    <w:lvl w:ilvl="0" w:tplc="1A4EA59A">
      <w:start w:val="4"/>
      <w:numFmt w:val="decimal"/>
      <w:lvlText w:val="%1)"/>
      <w:lvlJc w:val="left"/>
      <w:pPr>
        <w:tabs>
          <w:tab w:val="num" w:pos="720"/>
        </w:tabs>
        <w:ind w:left="720" w:hanging="360"/>
      </w:pPr>
    </w:lvl>
    <w:lvl w:ilvl="1" w:tplc="B1909738" w:tentative="1">
      <w:start w:val="1"/>
      <w:numFmt w:val="decimal"/>
      <w:lvlText w:val="%2)"/>
      <w:lvlJc w:val="left"/>
      <w:pPr>
        <w:tabs>
          <w:tab w:val="num" w:pos="1440"/>
        </w:tabs>
        <w:ind w:left="1440" w:hanging="360"/>
      </w:pPr>
    </w:lvl>
    <w:lvl w:ilvl="2" w:tplc="B9A0E38C" w:tentative="1">
      <w:start w:val="1"/>
      <w:numFmt w:val="decimal"/>
      <w:lvlText w:val="%3)"/>
      <w:lvlJc w:val="left"/>
      <w:pPr>
        <w:tabs>
          <w:tab w:val="num" w:pos="2160"/>
        </w:tabs>
        <w:ind w:left="2160" w:hanging="360"/>
      </w:pPr>
    </w:lvl>
    <w:lvl w:ilvl="3" w:tplc="08A04D8C" w:tentative="1">
      <w:start w:val="1"/>
      <w:numFmt w:val="decimal"/>
      <w:lvlText w:val="%4)"/>
      <w:lvlJc w:val="left"/>
      <w:pPr>
        <w:tabs>
          <w:tab w:val="num" w:pos="2880"/>
        </w:tabs>
        <w:ind w:left="2880" w:hanging="360"/>
      </w:pPr>
    </w:lvl>
    <w:lvl w:ilvl="4" w:tplc="5DA29526" w:tentative="1">
      <w:start w:val="1"/>
      <w:numFmt w:val="decimal"/>
      <w:lvlText w:val="%5)"/>
      <w:lvlJc w:val="left"/>
      <w:pPr>
        <w:tabs>
          <w:tab w:val="num" w:pos="3600"/>
        </w:tabs>
        <w:ind w:left="3600" w:hanging="360"/>
      </w:pPr>
    </w:lvl>
    <w:lvl w:ilvl="5" w:tplc="66BE23BA" w:tentative="1">
      <w:start w:val="1"/>
      <w:numFmt w:val="decimal"/>
      <w:lvlText w:val="%6)"/>
      <w:lvlJc w:val="left"/>
      <w:pPr>
        <w:tabs>
          <w:tab w:val="num" w:pos="4320"/>
        </w:tabs>
        <w:ind w:left="4320" w:hanging="360"/>
      </w:pPr>
    </w:lvl>
    <w:lvl w:ilvl="6" w:tplc="DFD818D6" w:tentative="1">
      <w:start w:val="1"/>
      <w:numFmt w:val="decimal"/>
      <w:lvlText w:val="%7)"/>
      <w:lvlJc w:val="left"/>
      <w:pPr>
        <w:tabs>
          <w:tab w:val="num" w:pos="5040"/>
        </w:tabs>
        <w:ind w:left="5040" w:hanging="360"/>
      </w:pPr>
    </w:lvl>
    <w:lvl w:ilvl="7" w:tplc="386AABD4" w:tentative="1">
      <w:start w:val="1"/>
      <w:numFmt w:val="decimal"/>
      <w:lvlText w:val="%8)"/>
      <w:lvlJc w:val="left"/>
      <w:pPr>
        <w:tabs>
          <w:tab w:val="num" w:pos="5760"/>
        </w:tabs>
        <w:ind w:left="5760" w:hanging="360"/>
      </w:pPr>
    </w:lvl>
    <w:lvl w:ilvl="8" w:tplc="94C0F45E" w:tentative="1">
      <w:start w:val="1"/>
      <w:numFmt w:val="decimal"/>
      <w:lvlText w:val="%9)"/>
      <w:lvlJc w:val="left"/>
      <w:pPr>
        <w:tabs>
          <w:tab w:val="num" w:pos="6480"/>
        </w:tabs>
        <w:ind w:left="6480" w:hanging="360"/>
      </w:pPr>
    </w:lvl>
  </w:abstractNum>
  <w:abstractNum w:abstractNumId="18" w15:restartNumberingAfterBreak="0">
    <w:nsid w:val="79A15FD6"/>
    <w:multiLevelType w:val="hybridMultilevel"/>
    <w:tmpl w:val="A9A236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F3976DF"/>
    <w:multiLevelType w:val="hybridMultilevel"/>
    <w:tmpl w:val="3E489F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3"/>
  </w:num>
  <w:num w:numId="3">
    <w:abstractNumId w:val="18"/>
  </w:num>
  <w:num w:numId="4">
    <w:abstractNumId w:val="19"/>
  </w:num>
  <w:num w:numId="5">
    <w:abstractNumId w:val="15"/>
  </w:num>
  <w:num w:numId="6">
    <w:abstractNumId w:val="10"/>
  </w:num>
  <w:num w:numId="7">
    <w:abstractNumId w:val="12"/>
  </w:num>
  <w:num w:numId="8">
    <w:abstractNumId w:val="14"/>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6"/>
  </w:num>
  <w:num w:numId="20">
    <w:abstractNumId w:val="1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hideSpellingErrors/>
  <w:hideGrammaticalError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2050"/>
    <o:shapelayout v:ext="edit">
      <o:idmap v:ext="edit" data="2"/>
    </o:shapelayout>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242"/>
    <w:rsid w:val="00000019"/>
    <w:rsid w:val="00001261"/>
    <w:rsid w:val="00001279"/>
    <w:rsid w:val="00001742"/>
    <w:rsid w:val="0000738A"/>
    <w:rsid w:val="00007419"/>
    <w:rsid w:val="00011834"/>
    <w:rsid w:val="00011DD6"/>
    <w:rsid w:val="000135BE"/>
    <w:rsid w:val="000142CF"/>
    <w:rsid w:val="000152AC"/>
    <w:rsid w:val="00016418"/>
    <w:rsid w:val="000164AC"/>
    <w:rsid w:val="00016659"/>
    <w:rsid w:val="00021CA2"/>
    <w:rsid w:val="000239F7"/>
    <w:rsid w:val="00024CA9"/>
    <w:rsid w:val="00024D69"/>
    <w:rsid w:val="0002586B"/>
    <w:rsid w:val="000266F4"/>
    <w:rsid w:val="0002687B"/>
    <w:rsid w:val="00027CCC"/>
    <w:rsid w:val="00027F4F"/>
    <w:rsid w:val="00030911"/>
    <w:rsid w:val="000315E8"/>
    <w:rsid w:val="000333C9"/>
    <w:rsid w:val="00034093"/>
    <w:rsid w:val="00035C88"/>
    <w:rsid w:val="00035E1C"/>
    <w:rsid w:val="00036376"/>
    <w:rsid w:val="00036C4B"/>
    <w:rsid w:val="00037F74"/>
    <w:rsid w:val="000401E5"/>
    <w:rsid w:val="00040E60"/>
    <w:rsid w:val="00042A2C"/>
    <w:rsid w:val="000446BF"/>
    <w:rsid w:val="000450D0"/>
    <w:rsid w:val="00046577"/>
    <w:rsid w:val="00051BF4"/>
    <w:rsid w:val="00051DC5"/>
    <w:rsid w:val="000533D2"/>
    <w:rsid w:val="00054F71"/>
    <w:rsid w:val="0006054B"/>
    <w:rsid w:val="00062409"/>
    <w:rsid w:val="000624B6"/>
    <w:rsid w:val="00063D58"/>
    <w:rsid w:val="00065242"/>
    <w:rsid w:val="0006527D"/>
    <w:rsid w:val="00065815"/>
    <w:rsid w:val="000679D8"/>
    <w:rsid w:val="00073E44"/>
    <w:rsid w:val="00074A9D"/>
    <w:rsid w:val="00076239"/>
    <w:rsid w:val="00077521"/>
    <w:rsid w:val="00080499"/>
    <w:rsid w:val="0008063D"/>
    <w:rsid w:val="00081E23"/>
    <w:rsid w:val="00083880"/>
    <w:rsid w:val="0009049E"/>
    <w:rsid w:val="00090589"/>
    <w:rsid w:val="0009069F"/>
    <w:rsid w:val="00093B78"/>
    <w:rsid w:val="000942D4"/>
    <w:rsid w:val="00095459"/>
    <w:rsid w:val="000A2FE6"/>
    <w:rsid w:val="000A3CA8"/>
    <w:rsid w:val="000A524D"/>
    <w:rsid w:val="000A5C5A"/>
    <w:rsid w:val="000B0C8C"/>
    <w:rsid w:val="000B2290"/>
    <w:rsid w:val="000B25BA"/>
    <w:rsid w:val="000B62EC"/>
    <w:rsid w:val="000B6997"/>
    <w:rsid w:val="000B73E6"/>
    <w:rsid w:val="000C30F5"/>
    <w:rsid w:val="000C6062"/>
    <w:rsid w:val="000C73B9"/>
    <w:rsid w:val="000D0578"/>
    <w:rsid w:val="000D327D"/>
    <w:rsid w:val="000D507B"/>
    <w:rsid w:val="000D5A65"/>
    <w:rsid w:val="000E14ED"/>
    <w:rsid w:val="000E20E8"/>
    <w:rsid w:val="000E5B0C"/>
    <w:rsid w:val="000E62F2"/>
    <w:rsid w:val="000E645C"/>
    <w:rsid w:val="000F1A6C"/>
    <w:rsid w:val="000F2A24"/>
    <w:rsid w:val="000F4836"/>
    <w:rsid w:val="000F59FB"/>
    <w:rsid w:val="000F69A6"/>
    <w:rsid w:val="00100ED1"/>
    <w:rsid w:val="001012FF"/>
    <w:rsid w:val="00104036"/>
    <w:rsid w:val="0010409C"/>
    <w:rsid w:val="001049F7"/>
    <w:rsid w:val="00105281"/>
    <w:rsid w:val="0010552B"/>
    <w:rsid w:val="0010783F"/>
    <w:rsid w:val="00110C54"/>
    <w:rsid w:val="00112B21"/>
    <w:rsid w:val="00112E6A"/>
    <w:rsid w:val="001134A2"/>
    <w:rsid w:val="0011425A"/>
    <w:rsid w:val="00115656"/>
    <w:rsid w:val="00115965"/>
    <w:rsid w:val="0011623D"/>
    <w:rsid w:val="0011623E"/>
    <w:rsid w:val="00116987"/>
    <w:rsid w:val="00123B41"/>
    <w:rsid w:val="00124426"/>
    <w:rsid w:val="00130026"/>
    <w:rsid w:val="00130B9D"/>
    <w:rsid w:val="00130BC3"/>
    <w:rsid w:val="00130D0C"/>
    <w:rsid w:val="00136114"/>
    <w:rsid w:val="00136E7F"/>
    <w:rsid w:val="00136F49"/>
    <w:rsid w:val="001425C9"/>
    <w:rsid w:val="00145432"/>
    <w:rsid w:val="00147233"/>
    <w:rsid w:val="00150B86"/>
    <w:rsid w:val="0015252F"/>
    <w:rsid w:val="00153BD2"/>
    <w:rsid w:val="00154E0F"/>
    <w:rsid w:val="0015538E"/>
    <w:rsid w:val="00157C9E"/>
    <w:rsid w:val="0016065D"/>
    <w:rsid w:val="00160DCA"/>
    <w:rsid w:val="00163AB5"/>
    <w:rsid w:val="00163E65"/>
    <w:rsid w:val="00164012"/>
    <w:rsid w:val="00173711"/>
    <w:rsid w:val="001743AA"/>
    <w:rsid w:val="0017456D"/>
    <w:rsid w:val="00176526"/>
    <w:rsid w:val="0018100A"/>
    <w:rsid w:val="00183725"/>
    <w:rsid w:val="0018450F"/>
    <w:rsid w:val="00184E6D"/>
    <w:rsid w:val="00185B46"/>
    <w:rsid w:val="001867DA"/>
    <w:rsid w:val="00186DB0"/>
    <w:rsid w:val="00187840"/>
    <w:rsid w:val="00192032"/>
    <w:rsid w:val="0019363F"/>
    <w:rsid w:val="00194235"/>
    <w:rsid w:val="001942BB"/>
    <w:rsid w:val="001944E2"/>
    <w:rsid w:val="00194565"/>
    <w:rsid w:val="001A049E"/>
    <w:rsid w:val="001A0902"/>
    <w:rsid w:val="001A455E"/>
    <w:rsid w:val="001A4AD9"/>
    <w:rsid w:val="001B5080"/>
    <w:rsid w:val="001B51BA"/>
    <w:rsid w:val="001B5D3E"/>
    <w:rsid w:val="001C0A9D"/>
    <w:rsid w:val="001C1F2C"/>
    <w:rsid w:val="001C27DE"/>
    <w:rsid w:val="001C31A4"/>
    <w:rsid w:val="001C5811"/>
    <w:rsid w:val="001C5812"/>
    <w:rsid w:val="001C7BE4"/>
    <w:rsid w:val="001D0053"/>
    <w:rsid w:val="001D0944"/>
    <w:rsid w:val="001D2493"/>
    <w:rsid w:val="001D2AC8"/>
    <w:rsid w:val="001D2B06"/>
    <w:rsid w:val="001D43B4"/>
    <w:rsid w:val="001D4D7F"/>
    <w:rsid w:val="001D611D"/>
    <w:rsid w:val="001D73D7"/>
    <w:rsid w:val="001E00D5"/>
    <w:rsid w:val="001E2D64"/>
    <w:rsid w:val="001E3854"/>
    <w:rsid w:val="001E4B4A"/>
    <w:rsid w:val="001E59E9"/>
    <w:rsid w:val="001E6300"/>
    <w:rsid w:val="001E69E5"/>
    <w:rsid w:val="001F0701"/>
    <w:rsid w:val="001F3BAA"/>
    <w:rsid w:val="001F4896"/>
    <w:rsid w:val="001F4929"/>
    <w:rsid w:val="001F5A61"/>
    <w:rsid w:val="001F6ED8"/>
    <w:rsid w:val="001F7A0E"/>
    <w:rsid w:val="001F7B27"/>
    <w:rsid w:val="00201513"/>
    <w:rsid w:val="0020367D"/>
    <w:rsid w:val="002041B1"/>
    <w:rsid w:val="002050C7"/>
    <w:rsid w:val="00205E4C"/>
    <w:rsid w:val="002068FB"/>
    <w:rsid w:val="00206E60"/>
    <w:rsid w:val="002100B7"/>
    <w:rsid w:val="00211ECA"/>
    <w:rsid w:val="002142B4"/>
    <w:rsid w:val="002147DF"/>
    <w:rsid w:val="00216021"/>
    <w:rsid w:val="002178C5"/>
    <w:rsid w:val="002236E6"/>
    <w:rsid w:val="00225555"/>
    <w:rsid w:val="0022616E"/>
    <w:rsid w:val="0022654F"/>
    <w:rsid w:val="00226646"/>
    <w:rsid w:val="002332D0"/>
    <w:rsid w:val="00233B03"/>
    <w:rsid w:val="00234223"/>
    <w:rsid w:val="002347E9"/>
    <w:rsid w:val="00234DB1"/>
    <w:rsid w:val="00235EA8"/>
    <w:rsid w:val="00236296"/>
    <w:rsid w:val="002403E7"/>
    <w:rsid w:val="00241352"/>
    <w:rsid w:val="00241E31"/>
    <w:rsid w:val="002445AE"/>
    <w:rsid w:val="00250AD4"/>
    <w:rsid w:val="0025114D"/>
    <w:rsid w:val="00251366"/>
    <w:rsid w:val="0025185F"/>
    <w:rsid w:val="00253495"/>
    <w:rsid w:val="00255836"/>
    <w:rsid w:val="00256395"/>
    <w:rsid w:val="00261ECF"/>
    <w:rsid w:val="00262CE3"/>
    <w:rsid w:val="00265B2B"/>
    <w:rsid w:val="0026737C"/>
    <w:rsid w:val="00270CB0"/>
    <w:rsid w:val="002721F9"/>
    <w:rsid w:val="00274F37"/>
    <w:rsid w:val="00275B74"/>
    <w:rsid w:val="0027643E"/>
    <w:rsid w:val="002824CB"/>
    <w:rsid w:val="00283768"/>
    <w:rsid w:val="00284175"/>
    <w:rsid w:val="0028462C"/>
    <w:rsid w:val="00284B54"/>
    <w:rsid w:val="00286362"/>
    <w:rsid w:val="0028666A"/>
    <w:rsid w:val="00287514"/>
    <w:rsid w:val="0029185A"/>
    <w:rsid w:val="00291D7B"/>
    <w:rsid w:val="00293697"/>
    <w:rsid w:val="00295B21"/>
    <w:rsid w:val="002961FF"/>
    <w:rsid w:val="00297A9B"/>
    <w:rsid w:val="00297DB0"/>
    <w:rsid w:val="002A0578"/>
    <w:rsid w:val="002A3113"/>
    <w:rsid w:val="002A4864"/>
    <w:rsid w:val="002A4D13"/>
    <w:rsid w:val="002A505A"/>
    <w:rsid w:val="002B0BCC"/>
    <w:rsid w:val="002B1181"/>
    <w:rsid w:val="002B2A7F"/>
    <w:rsid w:val="002B4B64"/>
    <w:rsid w:val="002B58C2"/>
    <w:rsid w:val="002B69FB"/>
    <w:rsid w:val="002B7D6B"/>
    <w:rsid w:val="002C1B43"/>
    <w:rsid w:val="002C387B"/>
    <w:rsid w:val="002C3C04"/>
    <w:rsid w:val="002C5FE8"/>
    <w:rsid w:val="002C6E51"/>
    <w:rsid w:val="002D0350"/>
    <w:rsid w:val="002D1E49"/>
    <w:rsid w:val="002D2AE4"/>
    <w:rsid w:val="002E0326"/>
    <w:rsid w:val="002E0D94"/>
    <w:rsid w:val="002E1446"/>
    <w:rsid w:val="002E231B"/>
    <w:rsid w:val="002E2AC4"/>
    <w:rsid w:val="002E3852"/>
    <w:rsid w:val="002E41D5"/>
    <w:rsid w:val="002E6BE7"/>
    <w:rsid w:val="002E7FE0"/>
    <w:rsid w:val="002F32EA"/>
    <w:rsid w:val="002F3511"/>
    <w:rsid w:val="002F47A7"/>
    <w:rsid w:val="002F6FBA"/>
    <w:rsid w:val="00302317"/>
    <w:rsid w:val="00302FDA"/>
    <w:rsid w:val="003061FA"/>
    <w:rsid w:val="00306570"/>
    <w:rsid w:val="00306760"/>
    <w:rsid w:val="003140F6"/>
    <w:rsid w:val="003156A3"/>
    <w:rsid w:val="003156E7"/>
    <w:rsid w:val="003212B1"/>
    <w:rsid w:val="00322AE0"/>
    <w:rsid w:val="00323662"/>
    <w:rsid w:val="0032547E"/>
    <w:rsid w:val="00326EDD"/>
    <w:rsid w:val="00327294"/>
    <w:rsid w:val="003303B8"/>
    <w:rsid w:val="0033598F"/>
    <w:rsid w:val="00335C77"/>
    <w:rsid w:val="00337904"/>
    <w:rsid w:val="00337DC5"/>
    <w:rsid w:val="00341946"/>
    <w:rsid w:val="003419A3"/>
    <w:rsid w:val="0034295C"/>
    <w:rsid w:val="0034437B"/>
    <w:rsid w:val="00346912"/>
    <w:rsid w:val="00347DE9"/>
    <w:rsid w:val="00350644"/>
    <w:rsid w:val="003509B6"/>
    <w:rsid w:val="003512F8"/>
    <w:rsid w:val="003538F5"/>
    <w:rsid w:val="00353D70"/>
    <w:rsid w:val="0035643B"/>
    <w:rsid w:val="00356873"/>
    <w:rsid w:val="003569C2"/>
    <w:rsid w:val="00356DF5"/>
    <w:rsid w:val="00356FE9"/>
    <w:rsid w:val="003575EF"/>
    <w:rsid w:val="003645CA"/>
    <w:rsid w:val="00370F50"/>
    <w:rsid w:val="00371A46"/>
    <w:rsid w:val="00373B96"/>
    <w:rsid w:val="00374069"/>
    <w:rsid w:val="00374855"/>
    <w:rsid w:val="003774D3"/>
    <w:rsid w:val="003777DD"/>
    <w:rsid w:val="0038038D"/>
    <w:rsid w:val="00380A2E"/>
    <w:rsid w:val="00381284"/>
    <w:rsid w:val="003818D2"/>
    <w:rsid w:val="00383680"/>
    <w:rsid w:val="00383E03"/>
    <w:rsid w:val="0038743D"/>
    <w:rsid w:val="0039057E"/>
    <w:rsid w:val="00390FBB"/>
    <w:rsid w:val="00392FC2"/>
    <w:rsid w:val="003941E0"/>
    <w:rsid w:val="003973BF"/>
    <w:rsid w:val="003A1E29"/>
    <w:rsid w:val="003A26F3"/>
    <w:rsid w:val="003A5F58"/>
    <w:rsid w:val="003A6968"/>
    <w:rsid w:val="003A6B66"/>
    <w:rsid w:val="003A6F33"/>
    <w:rsid w:val="003A784D"/>
    <w:rsid w:val="003B1B3F"/>
    <w:rsid w:val="003B2C5A"/>
    <w:rsid w:val="003B4DE3"/>
    <w:rsid w:val="003B62B5"/>
    <w:rsid w:val="003B6485"/>
    <w:rsid w:val="003C101F"/>
    <w:rsid w:val="003C12FE"/>
    <w:rsid w:val="003C1C6A"/>
    <w:rsid w:val="003C36A3"/>
    <w:rsid w:val="003D079F"/>
    <w:rsid w:val="003D1121"/>
    <w:rsid w:val="003D1152"/>
    <w:rsid w:val="003D1DE8"/>
    <w:rsid w:val="003D4145"/>
    <w:rsid w:val="003D4261"/>
    <w:rsid w:val="003D4B01"/>
    <w:rsid w:val="003D59F3"/>
    <w:rsid w:val="003E3980"/>
    <w:rsid w:val="003E49E6"/>
    <w:rsid w:val="003E555C"/>
    <w:rsid w:val="003E5984"/>
    <w:rsid w:val="003E5AE5"/>
    <w:rsid w:val="003E6210"/>
    <w:rsid w:val="003E6677"/>
    <w:rsid w:val="003E6A98"/>
    <w:rsid w:val="003E71D4"/>
    <w:rsid w:val="003F2223"/>
    <w:rsid w:val="003F2B3D"/>
    <w:rsid w:val="003F4C34"/>
    <w:rsid w:val="003F7340"/>
    <w:rsid w:val="003F7C7D"/>
    <w:rsid w:val="00402135"/>
    <w:rsid w:val="004026CC"/>
    <w:rsid w:val="004034C2"/>
    <w:rsid w:val="00403E1C"/>
    <w:rsid w:val="00406BE3"/>
    <w:rsid w:val="0040727A"/>
    <w:rsid w:val="00410CF0"/>
    <w:rsid w:val="004130F3"/>
    <w:rsid w:val="004135B3"/>
    <w:rsid w:val="00413FA6"/>
    <w:rsid w:val="004141E3"/>
    <w:rsid w:val="004157EF"/>
    <w:rsid w:val="0041662E"/>
    <w:rsid w:val="0041749B"/>
    <w:rsid w:val="004208D9"/>
    <w:rsid w:val="00421509"/>
    <w:rsid w:val="00421D8E"/>
    <w:rsid w:val="00423437"/>
    <w:rsid w:val="0042396B"/>
    <w:rsid w:val="00424444"/>
    <w:rsid w:val="00426919"/>
    <w:rsid w:val="0043073B"/>
    <w:rsid w:val="0043347C"/>
    <w:rsid w:val="00433D1C"/>
    <w:rsid w:val="00440B92"/>
    <w:rsid w:val="00440D6F"/>
    <w:rsid w:val="004470B2"/>
    <w:rsid w:val="00447C1A"/>
    <w:rsid w:val="00452AF6"/>
    <w:rsid w:val="004541D4"/>
    <w:rsid w:val="00454CD4"/>
    <w:rsid w:val="00454FBC"/>
    <w:rsid w:val="00456214"/>
    <w:rsid w:val="00460871"/>
    <w:rsid w:val="00462687"/>
    <w:rsid w:val="00463BD0"/>
    <w:rsid w:val="00464014"/>
    <w:rsid w:val="0046564C"/>
    <w:rsid w:val="004657A7"/>
    <w:rsid w:val="00466D0B"/>
    <w:rsid w:val="004672D5"/>
    <w:rsid w:val="00467E1E"/>
    <w:rsid w:val="0047143E"/>
    <w:rsid w:val="00471D6E"/>
    <w:rsid w:val="004740CA"/>
    <w:rsid w:val="00475887"/>
    <w:rsid w:val="0047617F"/>
    <w:rsid w:val="00476A13"/>
    <w:rsid w:val="0047746F"/>
    <w:rsid w:val="004810BB"/>
    <w:rsid w:val="004815BC"/>
    <w:rsid w:val="00482A77"/>
    <w:rsid w:val="00483049"/>
    <w:rsid w:val="00491032"/>
    <w:rsid w:val="004944D1"/>
    <w:rsid w:val="00495B84"/>
    <w:rsid w:val="00496BF5"/>
    <w:rsid w:val="004A1530"/>
    <w:rsid w:val="004A1810"/>
    <w:rsid w:val="004A538A"/>
    <w:rsid w:val="004A5B53"/>
    <w:rsid w:val="004B02CA"/>
    <w:rsid w:val="004B1AC3"/>
    <w:rsid w:val="004B1F74"/>
    <w:rsid w:val="004B4219"/>
    <w:rsid w:val="004B435E"/>
    <w:rsid w:val="004B4396"/>
    <w:rsid w:val="004B5045"/>
    <w:rsid w:val="004B73F2"/>
    <w:rsid w:val="004B783D"/>
    <w:rsid w:val="004C20EB"/>
    <w:rsid w:val="004C6E98"/>
    <w:rsid w:val="004C7D42"/>
    <w:rsid w:val="004D0829"/>
    <w:rsid w:val="004D110F"/>
    <w:rsid w:val="004D5ED2"/>
    <w:rsid w:val="004D621D"/>
    <w:rsid w:val="004E15BB"/>
    <w:rsid w:val="004E380D"/>
    <w:rsid w:val="004E51DC"/>
    <w:rsid w:val="004F411B"/>
    <w:rsid w:val="004F61D4"/>
    <w:rsid w:val="004F76B3"/>
    <w:rsid w:val="0050129D"/>
    <w:rsid w:val="00501DF1"/>
    <w:rsid w:val="005056B5"/>
    <w:rsid w:val="005062E8"/>
    <w:rsid w:val="00512481"/>
    <w:rsid w:val="00512EED"/>
    <w:rsid w:val="0051424B"/>
    <w:rsid w:val="00514D06"/>
    <w:rsid w:val="005170FE"/>
    <w:rsid w:val="005179C2"/>
    <w:rsid w:val="00523604"/>
    <w:rsid w:val="0052524F"/>
    <w:rsid w:val="00526344"/>
    <w:rsid w:val="00526D91"/>
    <w:rsid w:val="005303B6"/>
    <w:rsid w:val="0053205E"/>
    <w:rsid w:val="0053232D"/>
    <w:rsid w:val="00533716"/>
    <w:rsid w:val="00535835"/>
    <w:rsid w:val="00535E8C"/>
    <w:rsid w:val="005376C1"/>
    <w:rsid w:val="00544378"/>
    <w:rsid w:val="005450EB"/>
    <w:rsid w:val="005468D9"/>
    <w:rsid w:val="00546EFE"/>
    <w:rsid w:val="00551097"/>
    <w:rsid w:val="00552201"/>
    <w:rsid w:val="005541ED"/>
    <w:rsid w:val="00554A19"/>
    <w:rsid w:val="00560CC3"/>
    <w:rsid w:val="00561554"/>
    <w:rsid w:val="00561EA8"/>
    <w:rsid w:val="0057007E"/>
    <w:rsid w:val="005718C5"/>
    <w:rsid w:val="00576267"/>
    <w:rsid w:val="0057626D"/>
    <w:rsid w:val="00576DDF"/>
    <w:rsid w:val="005801B6"/>
    <w:rsid w:val="00582401"/>
    <w:rsid w:val="00582647"/>
    <w:rsid w:val="00583516"/>
    <w:rsid w:val="00584F4E"/>
    <w:rsid w:val="00585578"/>
    <w:rsid w:val="005862E5"/>
    <w:rsid w:val="00586A7F"/>
    <w:rsid w:val="00587E39"/>
    <w:rsid w:val="005909C6"/>
    <w:rsid w:val="005948E0"/>
    <w:rsid w:val="00595248"/>
    <w:rsid w:val="00597DFD"/>
    <w:rsid w:val="005A1948"/>
    <w:rsid w:val="005A23DB"/>
    <w:rsid w:val="005A4972"/>
    <w:rsid w:val="005A5763"/>
    <w:rsid w:val="005B1467"/>
    <w:rsid w:val="005B35A7"/>
    <w:rsid w:val="005B3D73"/>
    <w:rsid w:val="005B4AD0"/>
    <w:rsid w:val="005B674C"/>
    <w:rsid w:val="005B75DC"/>
    <w:rsid w:val="005B769C"/>
    <w:rsid w:val="005B7D1A"/>
    <w:rsid w:val="005B7F5E"/>
    <w:rsid w:val="005C0AB0"/>
    <w:rsid w:val="005C1A0E"/>
    <w:rsid w:val="005C1B79"/>
    <w:rsid w:val="005C37F1"/>
    <w:rsid w:val="005C3858"/>
    <w:rsid w:val="005C41A0"/>
    <w:rsid w:val="005D10FB"/>
    <w:rsid w:val="005D1295"/>
    <w:rsid w:val="005D4475"/>
    <w:rsid w:val="005D5CBC"/>
    <w:rsid w:val="005D5F67"/>
    <w:rsid w:val="005D7069"/>
    <w:rsid w:val="005D7A3D"/>
    <w:rsid w:val="005E223E"/>
    <w:rsid w:val="005E2FE1"/>
    <w:rsid w:val="005E4809"/>
    <w:rsid w:val="005F059D"/>
    <w:rsid w:val="005F1414"/>
    <w:rsid w:val="005F29C0"/>
    <w:rsid w:val="005F3554"/>
    <w:rsid w:val="005F547E"/>
    <w:rsid w:val="005F5B3F"/>
    <w:rsid w:val="005F7A05"/>
    <w:rsid w:val="005F7E7A"/>
    <w:rsid w:val="006002F6"/>
    <w:rsid w:val="00600C22"/>
    <w:rsid w:val="00600CD7"/>
    <w:rsid w:val="00600ED6"/>
    <w:rsid w:val="0060175F"/>
    <w:rsid w:val="006017C1"/>
    <w:rsid w:val="00601EC2"/>
    <w:rsid w:val="006042A9"/>
    <w:rsid w:val="00605260"/>
    <w:rsid w:val="00605773"/>
    <w:rsid w:val="00606D37"/>
    <w:rsid w:val="00607DF8"/>
    <w:rsid w:val="006103AB"/>
    <w:rsid w:val="00610F39"/>
    <w:rsid w:val="006117EB"/>
    <w:rsid w:val="00612545"/>
    <w:rsid w:val="0061370B"/>
    <w:rsid w:val="00613E28"/>
    <w:rsid w:val="006154D4"/>
    <w:rsid w:val="00621051"/>
    <w:rsid w:val="00621EB1"/>
    <w:rsid w:val="0062259C"/>
    <w:rsid w:val="00623A05"/>
    <w:rsid w:val="00625BC7"/>
    <w:rsid w:val="006268B1"/>
    <w:rsid w:val="00627094"/>
    <w:rsid w:val="00627BC7"/>
    <w:rsid w:val="00630704"/>
    <w:rsid w:val="00630D3D"/>
    <w:rsid w:val="0063389B"/>
    <w:rsid w:val="00633B7F"/>
    <w:rsid w:val="00633F9F"/>
    <w:rsid w:val="0064007C"/>
    <w:rsid w:val="00641A69"/>
    <w:rsid w:val="00643AD3"/>
    <w:rsid w:val="0064493F"/>
    <w:rsid w:val="00646788"/>
    <w:rsid w:val="006478B3"/>
    <w:rsid w:val="006501C9"/>
    <w:rsid w:val="006512C7"/>
    <w:rsid w:val="00653A83"/>
    <w:rsid w:val="00654732"/>
    <w:rsid w:val="00655877"/>
    <w:rsid w:val="00656171"/>
    <w:rsid w:val="00661FA0"/>
    <w:rsid w:val="00662079"/>
    <w:rsid w:val="006634EB"/>
    <w:rsid w:val="00663F78"/>
    <w:rsid w:val="00665F82"/>
    <w:rsid w:val="00671D05"/>
    <w:rsid w:val="00676BE1"/>
    <w:rsid w:val="0067720C"/>
    <w:rsid w:val="00685774"/>
    <w:rsid w:val="00691001"/>
    <w:rsid w:val="00696368"/>
    <w:rsid w:val="006A08EF"/>
    <w:rsid w:val="006A2CE8"/>
    <w:rsid w:val="006A455D"/>
    <w:rsid w:val="006A4D2E"/>
    <w:rsid w:val="006A64C8"/>
    <w:rsid w:val="006A7E95"/>
    <w:rsid w:val="006B0382"/>
    <w:rsid w:val="006B2183"/>
    <w:rsid w:val="006B2F33"/>
    <w:rsid w:val="006B343A"/>
    <w:rsid w:val="006B37BF"/>
    <w:rsid w:val="006B4449"/>
    <w:rsid w:val="006C03F9"/>
    <w:rsid w:val="006C1793"/>
    <w:rsid w:val="006C1F0A"/>
    <w:rsid w:val="006C2A45"/>
    <w:rsid w:val="006C3795"/>
    <w:rsid w:val="006C3F9B"/>
    <w:rsid w:val="006C41D5"/>
    <w:rsid w:val="006C5FF3"/>
    <w:rsid w:val="006D29DE"/>
    <w:rsid w:val="006D2BA3"/>
    <w:rsid w:val="006D512A"/>
    <w:rsid w:val="006D7D80"/>
    <w:rsid w:val="006E03C1"/>
    <w:rsid w:val="006E11E3"/>
    <w:rsid w:val="006E1A2C"/>
    <w:rsid w:val="006E1FA3"/>
    <w:rsid w:val="006E3ABD"/>
    <w:rsid w:val="006E541E"/>
    <w:rsid w:val="006E628D"/>
    <w:rsid w:val="006E6C0B"/>
    <w:rsid w:val="006E7314"/>
    <w:rsid w:val="006E7C08"/>
    <w:rsid w:val="006F020D"/>
    <w:rsid w:val="006F19C2"/>
    <w:rsid w:val="006F2B47"/>
    <w:rsid w:val="006F58A7"/>
    <w:rsid w:val="0070217F"/>
    <w:rsid w:val="00703367"/>
    <w:rsid w:val="00704E20"/>
    <w:rsid w:val="007063B6"/>
    <w:rsid w:val="00707275"/>
    <w:rsid w:val="00710756"/>
    <w:rsid w:val="00711C10"/>
    <w:rsid w:val="007123DB"/>
    <w:rsid w:val="00712AA8"/>
    <w:rsid w:val="00714219"/>
    <w:rsid w:val="007145A4"/>
    <w:rsid w:val="00720B46"/>
    <w:rsid w:val="0072121A"/>
    <w:rsid w:val="00722298"/>
    <w:rsid w:val="007247BA"/>
    <w:rsid w:val="00724C12"/>
    <w:rsid w:val="00724ED4"/>
    <w:rsid w:val="00726A9D"/>
    <w:rsid w:val="00730959"/>
    <w:rsid w:val="00732575"/>
    <w:rsid w:val="00732C09"/>
    <w:rsid w:val="007345AC"/>
    <w:rsid w:val="00736E52"/>
    <w:rsid w:val="0074147D"/>
    <w:rsid w:val="00741B0A"/>
    <w:rsid w:val="00742E77"/>
    <w:rsid w:val="00745AC9"/>
    <w:rsid w:val="00745C07"/>
    <w:rsid w:val="00745FA3"/>
    <w:rsid w:val="00751CCB"/>
    <w:rsid w:val="00752ABE"/>
    <w:rsid w:val="007535B3"/>
    <w:rsid w:val="00755120"/>
    <w:rsid w:val="007556AF"/>
    <w:rsid w:val="00756A88"/>
    <w:rsid w:val="0075724E"/>
    <w:rsid w:val="00757CA1"/>
    <w:rsid w:val="0076032E"/>
    <w:rsid w:val="00760A59"/>
    <w:rsid w:val="007617D5"/>
    <w:rsid w:val="00762257"/>
    <w:rsid w:val="007635DE"/>
    <w:rsid w:val="00764E44"/>
    <w:rsid w:val="00766FFA"/>
    <w:rsid w:val="00772E57"/>
    <w:rsid w:val="00775F7D"/>
    <w:rsid w:val="00782AF9"/>
    <w:rsid w:val="00784ADD"/>
    <w:rsid w:val="00784D11"/>
    <w:rsid w:val="00784D5D"/>
    <w:rsid w:val="00790C55"/>
    <w:rsid w:val="00791AC6"/>
    <w:rsid w:val="007936AA"/>
    <w:rsid w:val="007945B9"/>
    <w:rsid w:val="007A0DC9"/>
    <w:rsid w:val="007A17FB"/>
    <w:rsid w:val="007A59FF"/>
    <w:rsid w:val="007B069B"/>
    <w:rsid w:val="007B3894"/>
    <w:rsid w:val="007B4188"/>
    <w:rsid w:val="007B79F4"/>
    <w:rsid w:val="007B7E96"/>
    <w:rsid w:val="007C0CFA"/>
    <w:rsid w:val="007C10C2"/>
    <w:rsid w:val="007C1F69"/>
    <w:rsid w:val="007C48CB"/>
    <w:rsid w:val="007C4C18"/>
    <w:rsid w:val="007C4F46"/>
    <w:rsid w:val="007C5E4E"/>
    <w:rsid w:val="007D0237"/>
    <w:rsid w:val="007D0F01"/>
    <w:rsid w:val="007D190B"/>
    <w:rsid w:val="007D1A42"/>
    <w:rsid w:val="007D1C79"/>
    <w:rsid w:val="007D3844"/>
    <w:rsid w:val="007D3B8F"/>
    <w:rsid w:val="007D3BFD"/>
    <w:rsid w:val="007D6A1F"/>
    <w:rsid w:val="007E2918"/>
    <w:rsid w:val="007E2E6D"/>
    <w:rsid w:val="007E6833"/>
    <w:rsid w:val="007E734F"/>
    <w:rsid w:val="007E7805"/>
    <w:rsid w:val="007F302A"/>
    <w:rsid w:val="007F6833"/>
    <w:rsid w:val="00802D8A"/>
    <w:rsid w:val="008043D2"/>
    <w:rsid w:val="00805501"/>
    <w:rsid w:val="00805D8E"/>
    <w:rsid w:val="00805E5D"/>
    <w:rsid w:val="00806603"/>
    <w:rsid w:val="008076D4"/>
    <w:rsid w:val="0081003A"/>
    <w:rsid w:val="008107A7"/>
    <w:rsid w:val="008204AD"/>
    <w:rsid w:val="00823A98"/>
    <w:rsid w:val="008274B2"/>
    <w:rsid w:val="00827871"/>
    <w:rsid w:val="008279E9"/>
    <w:rsid w:val="00830520"/>
    <w:rsid w:val="00830653"/>
    <w:rsid w:val="00831CA3"/>
    <w:rsid w:val="00833FDD"/>
    <w:rsid w:val="00834768"/>
    <w:rsid w:val="00835FB5"/>
    <w:rsid w:val="00837575"/>
    <w:rsid w:val="008379B9"/>
    <w:rsid w:val="00840A6A"/>
    <w:rsid w:val="00841B13"/>
    <w:rsid w:val="00843E02"/>
    <w:rsid w:val="00844E3A"/>
    <w:rsid w:val="00847ACB"/>
    <w:rsid w:val="00847CC4"/>
    <w:rsid w:val="00850BF2"/>
    <w:rsid w:val="00852AFD"/>
    <w:rsid w:val="00854E3D"/>
    <w:rsid w:val="00857AD5"/>
    <w:rsid w:val="008611AF"/>
    <w:rsid w:val="00866CAD"/>
    <w:rsid w:val="008671F8"/>
    <w:rsid w:val="008701F2"/>
    <w:rsid w:val="00870F99"/>
    <w:rsid w:val="0087373B"/>
    <w:rsid w:val="00874F96"/>
    <w:rsid w:val="008750BE"/>
    <w:rsid w:val="00876F2A"/>
    <w:rsid w:val="008778EE"/>
    <w:rsid w:val="008805E1"/>
    <w:rsid w:val="00880B4E"/>
    <w:rsid w:val="00882565"/>
    <w:rsid w:val="00882C5A"/>
    <w:rsid w:val="00882EFC"/>
    <w:rsid w:val="008845EC"/>
    <w:rsid w:val="00884D77"/>
    <w:rsid w:val="00885FFF"/>
    <w:rsid w:val="008878FF"/>
    <w:rsid w:val="0089013B"/>
    <w:rsid w:val="00892840"/>
    <w:rsid w:val="00892950"/>
    <w:rsid w:val="0089344F"/>
    <w:rsid w:val="00893A55"/>
    <w:rsid w:val="0089443C"/>
    <w:rsid w:val="008945E3"/>
    <w:rsid w:val="00895019"/>
    <w:rsid w:val="00895A5B"/>
    <w:rsid w:val="00896DA7"/>
    <w:rsid w:val="00897A86"/>
    <w:rsid w:val="00897E92"/>
    <w:rsid w:val="008A4B70"/>
    <w:rsid w:val="008A4F92"/>
    <w:rsid w:val="008B55AA"/>
    <w:rsid w:val="008B591F"/>
    <w:rsid w:val="008B77A0"/>
    <w:rsid w:val="008B7929"/>
    <w:rsid w:val="008B7D28"/>
    <w:rsid w:val="008C2F58"/>
    <w:rsid w:val="008C445E"/>
    <w:rsid w:val="008C4CE7"/>
    <w:rsid w:val="008C55AB"/>
    <w:rsid w:val="008C5D52"/>
    <w:rsid w:val="008C6AF0"/>
    <w:rsid w:val="008C7D03"/>
    <w:rsid w:val="008D0C64"/>
    <w:rsid w:val="008D1726"/>
    <w:rsid w:val="008D2279"/>
    <w:rsid w:val="008D3140"/>
    <w:rsid w:val="008D337B"/>
    <w:rsid w:val="008D5BDA"/>
    <w:rsid w:val="008D6984"/>
    <w:rsid w:val="008E14A6"/>
    <w:rsid w:val="008E1704"/>
    <w:rsid w:val="008E44C0"/>
    <w:rsid w:val="008E498F"/>
    <w:rsid w:val="008E7541"/>
    <w:rsid w:val="008F5407"/>
    <w:rsid w:val="008F59ED"/>
    <w:rsid w:val="008F5F98"/>
    <w:rsid w:val="008F6570"/>
    <w:rsid w:val="008F6EE3"/>
    <w:rsid w:val="0090204D"/>
    <w:rsid w:val="009074B2"/>
    <w:rsid w:val="0091037D"/>
    <w:rsid w:val="0091384A"/>
    <w:rsid w:val="00913FD2"/>
    <w:rsid w:val="009146BD"/>
    <w:rsid w:val="009147E9"/>
    <w:rsid w:val="00916A80"/>
    <w:rsid w:val="00916E31"/>
    <w:rsid w:val="009214C6"/>
    <w:rsid w:val="009222EF"/>
    <w:rsid w:val="009228A6"/>
    <w:rsid w:val="00922E37"/>
    <w:rsid w:val="009232B6"/>
    <w:rsid w:val="009251E4"/>
    <w:rsid w:val="00925D09"/>
    <w:rsid w:val="009272D4"/>
    <w:rsid w:val="00930BC8"/>
    <w:rsid w:val="0093277A"/>
    <w:rsid w:val="00932D7F"/>
    <w:rsid w:val="00933A91"/>
    <w:rsid w:val="0093421C"/>
    <w:rsid w:val="00935C58"/>
    <w:rsid w:val="0093792A"/>
    <w:rsid w:val="009379FC"/>
    <w:rsid w:val="0094015A"/>
    <w:rsid w:val="0094102C"/>
    <w:rsid w:val="00942579"/>
    <w:rsid w:val="00943D87"/>
    <w:rsid w:val="009450DE"/>
    <w:rsid w:val="00945422"/>
    <w:rsid w:val="00945CE6"/>
    <w:rsid w:val="009466B3"/>
    <w:rsid w:val="00946A40"/>
    <w:rsid w:val="00947D45"/>
    <w:rsid w:val="009515C3"/>
    <w:rsid w:val="009544B2"/>
    <w:rsid w:val="0095737B"/>
    <w:rsid w:val="009647B0"/>
    <w:rsid w:val="00964A44"/>
    <w:rsid w:val="00965227"/>
    <w:rsid w:val="0096669C"/>
    <w:rsid w:val="00967E9A"/>
    <w:rsid w:val="00972285"/>
    <w:rsid w:val="00972498"/>
    <w:rsid w:val="00976784"/>
    <w:rsid w:val="00976A51"/>
    <w:rsid w:val="009775F3"/>
    <w:rsid w:val="00977B13"/>
    <w:rsid w:val="00980AB5"/>
    <w:rsid w:val="009829D9"/>
    <w:rsid w:val="00983E28"/>
    <w:rsid w:val="009857D4"/>
    <w:rsid w:val="00986A49"/>
    <w:rsid w:val="0099058E"/>
    <w:rsid w:val="009921B3"/>
    <w:rsid w:val="009924BA"/>
    <w:rsid w:val="00993FA0"/>
    <w:rsid w:val="00995B18"/>
    <w:rsid w:val="00997D36"/>
    <w:rsid w:val="009A1215"/>
    <w:rsid w:val="009A3D7C"/>
    <w:rsid w:val="009A71AD"/>
    <w:rsid w:val="009B3892"/>
    <w:rsid w:val="009B4065"/>
    <w:rsid w:val="009B6043"/>
    <w:rsid w:val="009C0EF8"/>
    <w:rsid w:val="009C190E"/>
    <w:rsid w:val="009C33D1"/>
    <w:rsid w:val="009C659F"/>
    <w:rsid w:val="009C67CB"/>
    <w:rsid w:val="009C71B9"/>
    <w:rsid w:val="009C75B4"/>
    <w:rsid w:val="009C7C6B"/>
    <w:rsid w:val="009D0546"/>
    <w:rsid w:val="009D46A9"/>
    <w:rsid w:val="009D54DA"/>
    <w:rsid w:val="009D590D"/>
    <w:rsid w:val="009D6255"/>
    <w:rsid w:val="009E0411"/>
    <w:rsid w:val="009E2487"/>
    <w:rsid w:val="009E356D"/>
    <w:rsid w:val="009E3906"/>
    <w:rsid w:val="009E3CAC"/>
    <w:rsid w:val="009E42D4"/>
    <w:rsid w:val="009E47D2"/>
    <w:rsid w:val="009E5546"/>
    <w:rsid w:val="009E69CD"/>
    <w:rsid w:val="009F1026"/>
    <w:rsid w:val="009F1D96"/>
    <w:rsid w:val="009F2000"/>
    <w:rsid w:val="009F23A6"/>
    <w:rsid w:val="009F3975"/>
    <w:rsid w:val="009F3E83"/>
    <w:rsid w:val="009F3E8D"/>
    <w:rsid w:val="009F4AC6"/>
    <w:rsid w:val="009F74B9"/>
    <w:rsid w:val="00A01122"/>
    <w:rsid w:val="00A01CE6"/>
    <w:rsid w:val="00A0447F"/>
    <w:rsid w:val="00A04A1E"/>
    <w:rsid w:val="00A05793"/>
    <w:rsid w:val="00A0722A"/>
    <w:rsid w:val="00A0782A"/>
    <w:rsid w:val="00A1067E"/>
    <w:rsid w:val="00A12B03"/>
    <w:rsid w:val="00A12FFC"/>
    <w:rsid w:val="00A1464A"/>
    <w:rsid w:val="00A14919"/>
    <w:rsid w:val="00A14956"/>
    <w:rsid w:val="00A17170"/>
    <w:rsid w:val="00A179BB"/>
    <w:rsid w:val="00A22707"/>
    <w:rsid w:val="00A23F1C"/>
    <w:rsid w:val="00A242D2"/>
    <w:rsid w:val="00A273AA"/>
    <w:rsid w:val="00A30D16"/>
    <w:rsid w:val="00A31A09"/>
    <w:rsid w:val="00A31A52"/>
    <w:rsid w:val="00A34AB5"/>
    <w:rsid w:val="00A35B59"/>
    <w:rsid w:val="00A36482"/>
    <w:rsid w:val="00A370B9"/>
    <w:rsid w:val="00A37743"/>
    <w:rsid w:val="00A37F8E"/>
    <w:rsid w:val="00A37FAC"/>
    <w:rsid w:val="00A414D6"/>
    <w:rsid w:val="00A41B17"/>
    <w:rsid w:val="00A42120"/>
    <w:rsid w:val="00A442FB"/>
    <w:rsid w:val="00A4441C"/>
    <w:rsid w:val="00A45102"/>
    <w:rsid w:val="00A50865"/>
    <w:rsid w:val="00A50B34"/>
    <w:rsid w:val="00A53AAD"/>
    <w:rsid w:val="00A55048"/>
    <w:rsid w:val="00A557B9"/>
    <w:rsid w:val="00A57336"/>
    <w:rsid w:val="00A578AD"/>
    <w:rsid w:val="00A61967"/>
    <w:rsid w:val="00A61BFA"/>
    <w:rsid w:val="00A61F18"/>
    <w:rsid w:val="00A62D83"/>
    <w:rsid w:val="00A635DB"/>
    <w:rsid w:val="00A6364D"/>
    <w:rsid w:val="00A648F3"/>
    <w:rsid w:val="00A65618"/>
    <w:rsid w:val="00A707EE"/>
    <w:rsid w:val="00A74C97"/>
    <w:rsid w:val="00A752A7"/>
    <w:rsid w:val="00A75A1B"/>
    <w:rsid w:val="00A80864"/>
    <w:rsid w:val="00A81D36"/>
    <w:rsid w:val="00A829D7"/>
    <w:rsid w:val="00A841D3"/>
    <w:rsid w:val="00A84288"/>
    <w:rsid w:val="00A8466D"/>
    <w:rsid w:val="00A85395"/>
    <w:rsid w:val="00A91089"/>
    <w:rsid w:val="00A92093"/>
    <w:rsid w:val="00A93B4D"/>
    <w:rsid w:val="00A9426A"/>
    <w:rsid w:val="00A955BC"/>
    <w:rsid w:val="00AA01AB"/>
    <w:rsid w:val="00AA08F2"/>
    <w:rsid w:val="00AA0A40"/>
    <w:rsid w:val="00AB1925"/>
    <w:rsid w:val="00AB4D69"/>
    <w:rsid w:val="00AB67A3"/>
    <w:rsid w:val="00AB7B7D"/>
    <w:rsid w:val="00AC03AA"/>
    <w:rsid w:val="00AC0E3A"/>
    <w:rsid w:val="00AC0E99"/>
    <w:rsid w:val="00AC1D48"/>
    <w:rsid w:val="00AC53BA"/>
    <w:rsid w:val="00AC592B"/>
    <w:rsid w:val="00AC5DDC"/>
    <w:rsid w:val="00AC616D"/>
    <w:rsid w:val="00AC674E"/>
    <w:rsid w:val="00AC6AD1"/>
    <w:rsid w:val="00AC6B72"/>
    <w:rsid w:val="00AD3D83"/>
    <w:rsid w:val="00AD5E04"/>
    <w:rsid w:val="00AD6DCD"/>
    <w:rsid w:val="00AE24B0"/>
    <w:rsid w:val="00AE5771"/>
    <w:rsid w:val="00AE5943"/>
    <w:rsid w:val="00AE72D0"/>
    <w:rsid w:val="00AF37B5"/>
    <w:rsid w:val="00B010A5"/>
    <w:rsid w:val="00B026AD"/>
    <w:rsid w:val="00B029A1"/>
    <w:rsid w:val="00B0349A"/>
    <w:rsid w:val="00B04191"/>
    <w:rsid w:val="00B04D88"/>
    <w:rsid w:val="00B0617C"/>
    <w:rsid w:val="00B064D5"/>
    <w:rsid w:val="00B113FC"/>
    <w:rsid w:val="00B2162A"/>
    <w:rsid w:val="00B219F9"/>
    <w:rsid w:val="00B21A05"/>
    <w:rsid w:val="00B22ECF"/>
    <w:rsid w:val="00B24DC2"/>
    <w:rsid w:val="00B24EF8"/>
    <w:rsid w:val="00B2545C"/>
    <w:rsid w:val="00B25C33"/>
    <w:rsid w:val="00B30CDE"/>
    <w:rsid w:val="00B3157B"/>
    <w:rsid w:val="00B317FC"/>
    <w:rsid w:val="00B31B47"/>
    <w:rsid w:val="00B32C76"/>
    <w:rsid w:val="00B34195"/>
    <w:rsid w:val="00B42D55"/>
    <w:rsid w:val="00B44179"/>
    <w:rsid w:val="00B46532"/>
    <w:rsid w:val="00B47D68"/>
    <w:rsid w:val="00B50A77"/>
    <w:rsid w:val="00B511AD"/>
    <w:rsid w:val="00B51CA5"/>
    <w:rsid w:val="00B63C41"/>
    <w:rsid w:val="00B64246"/>
    <w:rsid w:val="00B64BC1"/>
    <w:rsid w:val="00B66A0E"/>
    <w:rsid w:val="00B67597"/>
    <w:rsid w:val="00B70DD3"/>
    <w:rsid w:val="00B71192"/>
    <w:rsid w:val="00B71C22"/>
    <w:rsid w:val="00B73504"/>
    <w:rsid w:val="00B7488D"/>
    <w:rsid w:val="00B75675"/>
    <w:rsid w:val="00B759D0"/>
    <w:rsid w:val="00B75A20"/>
    <w:rsid w:val="00B76169"/>
    <w:rsid w:val="00B77098"/>
    <w:rsid w:val="00B82B24"/>
    <w:rsid w:val="00B875E2"/>
    <w:rsid w:val="00B903F2"/>
    <w:rsid w:val="00B9288C"/>
    <w:rsid w:val="00B92CD2"/>
    <w:rsid w:val="00B93332"/>
    <w:rsid w:val="00B94040"/>
    <w:rsid w:val="00B94B34"/>
    <w:rsid w:val="00B9533B"/>
    <w:rsid w:val="00BA24BB"/>
    <w:rsid w:val="00BA3D02"/>
    <w:rsid w:val="00BA6297"/>
    <w:rsid w:val="00BA7F67"/>
    <w:rsid w:val="00BB1885"/>
    <w:rsid w:val="00BB2A84"/>
    <w:rsid w:val="00BB6919"/>
    <w:rsid w:val="00BB7109"/>
    <w:rsid w:val="00BB758D"/>
    <w:rsid w:val="00BC019F"/>
    <w:rsid w:val="00BC0243"/>
    <w:rsid w:val="00BC5121"/>
    <w:rsid w:val="00BC525B"/>
    <w:rsid w:val="00BC6C37"/>
    <w:rsid w:val="00BC7EC8"/>
    <w:rsid w:val="00BD12C7"/>
    <w:rsid w:val="00BD37A1"/>
    <w:rsid w:val="00BD613A"/>
    <w:rsid w:val="00BD665B"/>
    <w:rsid w:val="00BD67FE"/>
    <w:rsid w:val="00BD7D6E"/>
    <w:rsid w:val="00BE077B"/>
    <w:rsid w:val="00BE0800"/>
    <w:rsid w:val="00BE156E"/>
    <w:rsid w:val="00BE3395"/>
    <w:rsid w:val="00BE421D"/>
    <w:rsid w:val="00BE63E9"/>
    <w:rsid w:val="00BE679C"/>
    <w:rsid w:val="00BE7A73"/>
    <w:rsid w:val="00BF10CB"/>
    <w:rsid w:val="00BF1267"/>
    <w:rsid w:val="00BF1987"/>
    <w:rsid w:val="00BF3633"/>
    <w:rsid w:val="00BF4BC5"/>
    <w:rsid w:val="00BF4E79"/>
    <w:rsid w:val="00BF6054"/>
    <w:rsid w:val="00BF60E3"/>
    <w:rsid w:val="00BF6C86"/>
    <w:rsid w:val="00BF79E3"/>
    <w:rsid w:val="00C00046"/>
    <w:rsid w:val="00C06AA2"/>
    <w:rsid w:val="00C0745B"/>
    <w:rsid w:val="00C07B20"/>
    <w:rsid w:val="00C11027"/>
    <w:rsid w:val="00C12087"/>
    <w:rsid w:val="00C121D0"/>
    <w:rsid w:val="00C14AB6"/>
    <w:rsid w:val="00C162C0"/>
    <w:rsid w:val="00C17CD4"/>
    <w:rsid w:val="00C21632"/>
    <w:rsid w:val="00C21738"/>
    <w:rsid w:val="00C23791"/>
    <w:rsid w:val="00C2428E"/>
    <w:rsid w:val="00C24F25"/>
    <w:rsid w:val="00C26EA4"/>
    <w:rsid w:val="00C3029F"/>
    <w:rsid w:val="00C343CB"/>
    <w:rsid w:val="00C34441"/>
    <w:rsid w:val="00C35707"/>
    <w:rsid w:val="00C36BD4"/>
    <w:rsid w:val="00C402A6"/>
    <w:rsid w:val="00C427A8"/>
    <w:rsid w:val="00C4475D"/>
    <w:rsid w:val="00C4564A"/>
    <w:rsid w:val="00C461BA"/>
    <w:rsid w:val="00C4729C"/>
    <w:rsid w:val="00C478A4"/>
    <w:rsid w:val="00C51E4B"/>
    <w:rsid w:val="00C52843"/>
    <w:rsid w:val="00C53F61"/>
    <w:rsid w:val="00C5450F"/>
    <w:rsid w:val="00C54AD8"/>
    <w:rsid w:val="00C57B5E"/>
    <w:rsid w:val="00C637BC"/>
    <w:rsid w:val="00C65F4A"/>
    <w:rsid w:val="00C66CED"/>
    <w:rsid w:val="00C73F3F"/>
    <w:rsid w:val="00C75309"/>
    <w:rsid w:val="00C75344"/>
    <w:rsid w:val="00C771BB"/>
    <w:rsid w:val="00C817BC"/>
    <w:rsid w:val="00C82CF9"/>
    <w:rsid w:val="00C83F58"/>
    <w:rsid w:val="00C86ABE"/>
    <w:rsid w:val="00C9047A"/>
    <w:rsid w:val="00C90C03"/>
    <w:rsid w:val="00C91D66"/>
    <w:rsid w:val="00C932E4"/>
    <w:rsid w:val="00C93AA2"/>
    <w:rsid w:val="00C954EE"/>
    <w:rsid w:val="00C96BBB"/>
    <w:rsid w:val="00CA0B0F"/>
    <w:rsid w:val="00CA353A"/>
    <w:rsid w:val="00CA3C6C"/>
    <w:rsid w:val="00CA3DBA"/>
    <w:rsid w:val="00CA4E4C"/>
    <w:rsid w:val="00CA7047"/>
    <w:rsid w:val="00CA795A"/>
    <w:rsid w:val="00CB188D"/>
    <w:rsid w:val="00CB2B3D"/>
    <w:rsid w:val="00CB2E3C"/>
    <w:rsid w:val="00CB3555"/>
    <w:rsid w:val="00CB7A36"/>
    <w:rsid w:val="00CC1FF1"/>
    <w:rsid w:val="00CC3D5A"/>
    <w:rsid w:val="00CC417B"/>
    <w:rsid w:val="00CC63D3"/>
    <w:rsid w:val="00CC699E"/>
    <w:rsid w:val="00CC7606"/>
    <w:rsid w:val="00CC7682"/>
    <w:rsid w:val="00CD304B"/>
    <w:rsid w:val="00CD3280"/>
    <w:rsid w:val="00CD67D4"/>
    <w:rsid w:val="00CD723B"/>
    <w:rsid w:val="00CE23C4"/>
    <w:rsid w:val="00CE36C8"/>
    <w:rsid w:val="00CE39ED"/>
    <w:rsid w:val="00CE3CED"/>
    <w:rsid w:val="00CE47C4"/>
    <w:rsid w:val="00CE4D0B"/>
    <w:rsid w:val="00CE5358"/>
    <w:rsid w:val="00CE5D5D"/>
    <w:rsid w:val="00CE6467"/>
    <w:rsid w:val="00CE67AD"/>
    <w:rsid w:val="00CE6826"/>
    <w:rsid w:val="00CE7BBC"/>
    <w:rsid w:val="00CF059B"/>
    <w:rsid w:val="00CF0959"/>
    <w:rsid w:val="00CF2989"/>
    <w:rsid w:val="00CF2B08"/>
    <w:rsid w:val="00CF3140"/>
    <w:rsid w:val="00CF4F2E"/>
    <w:rsid w:val="00CF5AE8"/>
    <w:rsid w:val="00CF7253"/>
    <w:rsid w:val="00D0031B"/>
    <w:rsid w:val="00D01916"/>
    <w:rsid w:val="00D01E42"/>
    <w:rsid w:val="00D02190"/>
    <w:rsid w:val="00D023E4"/>
    <w:rsid w:val="00D029F5"/>
    <w:rsid w:val="00D060C1"/>
    <w:rsid w:val="00D06CB9"/>
    <w:rsid w:val="00D07EFA"/>
    <w:rsid w:val="00D10CCB"/>
    <w:rsid w:val="00D113A7"/>
    <w:rsid w:val="00D142F7"/>
    <w:rsid w:val="00D14AFD"/>
    <w:rsid w:val="00D150BA"/>
    <w:rsid w:val="00D15A47"/>
    <w:rsid w:val="00D1740A"/>
    <w:rsid w:val="00D20B9E"/>
    <w:rsid w:val="00D255AF"/>
    <w:rsid w:val="00D257F8"/>
    <w:rsid w:val="00D26EF4"/>
    <w:rsid w:val="00D27142"/>
    <w:rsid w:val="00D30ED1"/>
    <w:rsid w:val="00D3237C"/>
    <w:rsid w:val="00D366B1"/>
    <w:rsid w:val="00D36B8C"/>
    <w:rsid w:val="00D40065"/>
    <w:rsid w:val="00D41B13"/>
    <w:rsid w:val="00D41C3A"/>
    <w:rsid w:val="00D43026"/>
    <w:rsid w:val="00D44458"/>
    <w:rsid w:val="00D44D1A"/>
    <w:rsid w:val="00D468DB"/>
    <w:rsid w:val="00D4759C"/>
    <w:rsid w:val="00D51884"/>
    <w:rsid w:val="00D539AE"/>
    <w:rsid w:val="00D55079"/>
    <w:rsid w:val="00D57B0E"/>
    <w:rsid w:val="00D605C4"/>
    <w:rsid w:val="00D60CDD"/>
    <w:rsid w:val="00D62F85"/>
    <w:rsid w:val="00D661DC"/>
    <w:rsid w:val="00D67183"/>
    <w:rsid w:val="00D70A73"/>
    <w:rsid w:val="00D72BB3"/>
    <w:rsid w:val="00D761CA"/>
    <w:rsid w:val="00D77FCD"/>
    <w:rsid w:val="00D86367"/>
    <w:rsid w:val="00D90D72"/>
    <w:rsid w:val="00D910E4"/>
    <w:rsid w:val="00D9182E"/>
    <w:rsid w:val="00D92AE8"/>
    <w:rsid w:val="00D9682A"/>
    <w:rsid w:val="00D97011"/>
    <w:rsid w:val="00D973B8"/>
    <w:rsid w:val="00D97EA2"/>
    <w:rsid w:val="00DA1090"/>
    <w:rsid w:val="00DA1684"/>
    <w:rsid w:val="00DA1EB6"/>
    <w:rsid w:val="00DA680F"/>
    <w:rsid w:val="00DB0075"/>
    <w:rsid w:val="00DB1394"/>
    <w:rsid w:val="00DC6105"/>
    <w:rsid w:val="00DC77A3"/>
    <w:rsid w:val="00DD4FCE"/>
    <w:rsid w:val="00DD523B"/>
    <w:rsid w:val="00DE04B6"/>
    <w:rsid w:val="00DE1729"/>
    <w:rsid w:val="00DE1776"/>
    <w:rsid w:val="00DE1996"/>
    <w:rsid w:val="00DE1B0B"/>
    <w:rsid w:val="00DE2B1E"/>
    <w:rsid w:val="00DE2B79"/>
    <w:rsid w:val="00DE2DBB"/>
    <w:rsid w:val="00DE32F0"/>
    <w:rsid w:val="00DE3B08"/>
    <w:rsid w:val="00DE4F4D"/>
    <w:rsid w:val="00DE6BF7"/>
    <w:rsid w:val="00DE7B7E"/>
    <w:rsid w:val="00DF13C6"/>
    <w:rsid w:val="00DF49C8"/>
    <w:rsid w:val="00DF68BD"/>
    <w:rsid w:val="00E01098"/>
    <w:rsid w:val="00E01EAC"/>
    <w:rsid w:val="00E04EFF"/>
    <w:rsid w:val="00E0529D"/>
    <w:rsid w:val="00E0696B"/>
    <w:rsid w:val="00E104E3"/>
    <w:rsid w:val="00E10E72"/>
    <w:rsid w:val="00E11135"/>
    <w:rsid w:val="00E1114C"/>
    <w:rsid w:val="00E12697"/>
    <w:rsid w:val="00E14B19"/>
    <w:rsid w:val="00E170BD"/>
    <w:rsid w:val="00E17D35"/>
    <w:rsid w:val="00E20129"/>
    <w:rsid w:val="00E23DEF"/>
    <w:rsid w:val="00E252A2"/>
    <w:rsid w:val="00E27A71"/>
    <w:rsid w:val="00E318DC"/>
    <w:rsid w:val="00E31CDA"/>
    <w:rsid w:val="00E321C4"/>
    <w:rsid w:val="00E327DC"/>
    <w:rsid w:val="00E35DF5"/>
    <w:rsid w:val="00E377B5"/>
    <w:rsid w:val="00E406D8"/>
    <w:rsid w:val="00E41AB0"/>
    <w:rsid w:val="00E43A6E"/>
    <w:rsid w:val="00E43F50"/>
    <w:rsid w:val="00E43FD9"/>
    <w:rsid w:val="00E44902"/>
    <w:rsid w:val="00E60F54"/>
    <w:rsid w:val="00E621F7"/>
    <w:rsid w:val="00E62C24"/>
    <w:rsid w:val="00E6339A"/>
    <w:rsid w:val="00E658D2"/>
    <w:rsid w:val="00E65BD8"/>
    <w:rsid w:val="00E67410"/>
    <w:rsid w:val="00E70CE6"/>
    <w:rsid w:val="00E7591D"/>
    <w:rsid w:val="00E76062"/>
    <w:rsid w:val="00E7675A"/>
    <w:rsid w:val="00E90656"/>
    <w:rsid w:val="00E91F0E"/>
    <w:rsid w:val="00E920DB"/>
    <w:rsid w:val="00E939F0"/>
    <w:rsid w:val="00EA12D3"/>
    <w:rsid w:val="00EA1C22"/>
    <w:rsid w:val="00EA582C"/>
    <w:rsid w:val="00EA630B"/>
    <w:rsid w:val="00EA7F48"/>
    <w:rsid w:val="00EA7F6A"/>
    <w:rsid w:val="00EB3989"/>
    <w:rsid w:val="00EB51F2"/>
    <w:rsid w:val="00EB6782"/>
    <w:rsid w:val="00EB6842"/>
    <w:rsid w:val="00EB6A0E"/>
    <w:rsid w:val="00EC0FB2"/>
    <w:rsid w:val="00EC2602"/>
    <w:rsid w:val="00EC3FA4"/>
    <w:rsid w:val="00EC41D7"/>
    <w:rsid w:val="00EC46A6"/>
    <w:rsid w:val="00EC70FE"/>
    <w:rsid w:val="00ED0D50"/>
    <w:rsid w:val="00ED462C"/>
    <w:rsid w:val="00ED6D14"/>
    <w:rsid w:val="00EE207A"/>
    <w:rsid w:val="00EE2ABD"/>
    <w:rsid w:val="00EE43C2"/>
    <w:rsid w:val="00EE60DE"/>
    <w:rsid w:val="00EF029D"/>
    <w:rsid w:val="00EF1F05"/>
    <w:rsid w:val="00EF46EC"/>
    <w:rsid w:val="00EF6BA2"/>
    <w:rsid w:val="00EF7CA9"/>
    <w:rsid w:val="00F0099C"/>
    <w:rsid w:val="00F00B27"/>
    <w:rsid w:val="00F01ACA"/>
    <w:rsid w:val="00F02B82"/>
    <w:rsid w:val="00F0316D"/>
    <w:rsid w:val="00F042B5"/>
    <w:rsid w:val="00F044E8"/>
    <w:rsid w:val="00F05054"/>
    <w:rsid w:val="00F051B4"/>
    <w:rsid w:val="00F057FC"/>
    <w:rsid w:val="00F07C50"/>
    <w:rsid w:val="00F12D3E"/>
    <w:rsid w:val="00F144DA"/>
    <w:rsid w:val="00F15139"/>
    <w:rsid w:val="00F16C5E"/>
    <w:rsid w:val="00F200F6"/>
    <w:rsid w:val="00F21908"/>
    <w:rsid w:val="00F220D5"/>
    <w:rsid w:val="00F22737"/>
    <w:rsid w:val="00F2305D"/>
    <w:rsid w:val="00F24E67"/>
    <w:rsid w:val="00F25754"/>
    <w:rsid w:val="00F26665"/>
    <w:rsid w:val="00F26B18"/>
    <w:rsid w:val="00F27A0A"/>
    <w:rsid w:val="00F31295"/>
    <w:rsid w:val="00F31BD4"/>
    <w:rsid w:val="00F32947"/>
    <w:rsid w:val="00F3553E"/>
    <w:rsid w:val="00F356E6"/>
    <w:rsid w:val="00F35FDB"/>
    <w:rsid w:val="00F36B48"/>
    <w:rsid w:val="00F36BD4"/>
    <w:rsid w:val="00F373D1"/>
    <w:rsid w:val="00F406BD"/>
    <w:rsid w:val="00F40B3E"/>
    <w:rsid w:val="00F40BB5"/>
    <w:rsid w:val="00F4106A"/>
    <w:rsid w:val="00F43BC3"/>
    <w:rsid w:val="00F441B8"/>
    <w:rsid w:val="00F44D54"/>
    <w:rsid w:val="00F44D84"/>
    <w:rsid w:val="00F453E5"/>
    <w:rsid w:val="00F46B46"/>
    <w:rsid w:val="00F51C52"/>
    <w:rsid w:val="00F51D0E"/>
    <w:rsid w:val="00F5235B"/>
    <w:rsid w:val="00F529EA"/>
    <w:rsid w:val="00F52E42"/>
    <w:rsid w:val="00F52F58"/>
    <w:rsid w:val="00F54BBC"/>
    <w:rsid w:val="00F560BA"/>
    <w:rsid w:val="00F560C5"/>
    <w:rsid w:val="00F56173"/>
    <w:rsid w:val="00F6071E"/>
    <w:rsid w:val="00F60DFC"/>
    <w:rsid w:val="00F61274"/>
    <w:rsid w:val="00F612CE"/>
    <w:rsid w:val="00F61419"/>
    <w:rsid w:val="00F62EEA"/>
    <w:rsid w:val="00F63179"/>
    <w:rsid w:val="00F6376B"/>
    <w:rsid w:val="00F645A8"/>
    <w:rsid w:val="00F64972"/>
    <w:rsid w:val="00F64E4D"/>
    <w:rsid w:val="00F6739F"/>
    <w:rsid w:val="00F71590"/>
    <w:rsid w:val="00F73BC5"/>
    <w:rsid w:val="00F74594"/>
    <w:rsid w:val="00F75074"/>
    <w:rsid w:val="00F75165"/>
    <w:rsid w:val="00F75E97"/>
    <w:rsid w:val="00F762C5"/>
    <w:rsid w:val="00F76C26"/>
    <w:rsid w:val="00F77019"/>
    <w:rsid w:val="00F80BA2"/>
    <w:rsid w:val="00F82E2E"/>
    <w:rsid w:val="00F83471"/>
    <w:rsid w:val="00F86200"/>
    <w:rsid w:val="00F90675"/>
    <w:rsid w:val="00F9070E"/>
    <w:rsid w:val="00F910BB"/>
    <w:rsid w:val="00F9246A"/>
    <w:rsid w:val="00F92810"/>
    <w:rsid w:val="00F92F46"/>
    <w:rsid w:val="00F933AF"/>
    <w:rsid w:val="00F94058"/>
    <w:rsid w:val="00F95D33"/>
    <w:rsid w:val="00F976AC"/>
    <w:rsid w:val="00F97DDC"/>
    <w:rsid w:val="00FA0C63"/>
    <w:rsid w:val="00FA1E74"/>
    <w:rsid w:val="00FA1F9B"/>
    <w:rsid w:val="00FA22B1"/>
    <w:rsid w:val="00FA29F1"/>
    <w:rsid w:val="00FA400E"/>
    <w:rsid w:val="00FA5166"/>
    <w:rsid w:val="00FA79AF"/>
    <w:rsid w:val="00FB43FE"/>
    <w:rsid w:val="00FB70FE"/>
    <w:rsid w:val="00FB7819"/>
    <w:rsid w:val="00FC2D6C"/>
    <w:rsid w:val="00FC3454"/>
    <w:rsid w:val="00FC582A"/>
    <w:rsid w:val="00FD7AC5"/>
    <w:rsid w:val="00FD7EF3"/>
    <w:rsid w:val="00FE0797"/>
    <w:rsid w:val="00FE2B8C"/>
    <w:rsid w:val="00FE32CA"/>
    <w:rsid w:val="00FE6F51"/>
    <w:rsid w:val="00FE753A"/>
    <w:rsid w:val="00FE7580"/>
    <w:rsid w:val="00FF16D3"/>
    <w:rsid w:val="00FF1DDF"/>
    <w:rsid w:val="00FF401B"/>
    <w:rsid w:val="00FF44BB"/>
    <w:rsid w:val="00FF5BFA"/>
    <w:rsid w:val="00FF71BA"/>
    <w:rsid w:val="00FF7705"/>
    <w:rsid w:val="02EF8369"/>
    <w:rsid w:val="16FCD4CD"/>
    <w:rsid w:val="1B90F403"/>
    <w:rsid w:val="1C737B24"/>
    <w:rsid w:val="27897F94"/>
    <w:rsid w:val="2D261A83"/>
    <w:rsid w:val="2E4C32B5"/>
    <w:rsid w:val="586A338B"/>
    <w:rsid w:val="5A58039A"/>
    <w:rsid w:val="5CB50332"/>
    <w:rsid w:val="66237962"/>
    <w:rsid w:val="67E58303"/>
    <w:rsid w:val="6800E6B3"/>
    <w:rsid w:val="6BB8E80F"/>
    <w:rsid w:val="781EC532"/>
    <w:rsid w:val="7FAEE2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A438FAB"/>
  <w15:docId w15:val="{8992C84E-B4A9-4AAC-82FA-C46286CEC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unhideWhenUsed="1" w:qFormat="1"/>
    <w:lsdException w:name="heading 5" w:semiHidden="1" w:unhideWhenUsed="1"/>
    <w:lsdException w:name="heading 6" w:semiHidden="1" w:unhideWhenUsed="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Number" w:semiHidden="1"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nhideWhenUsed="1"/>
    <w:lsdException w:name="Body Text Indent 2" w:unhideWhenUsed="1"/>
    <w:lsdException w:name="Body Text Indent 3" w:unhideWhenUsed="1"/>
    <w:lsdException w:name="Block Text"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A4D13"/>
    <w:rPr>
      <w:rFonts w:ascii="Arial" w:hAnsi="Arial"/>
      <w:sz w:val="22"/>
    </w:rPr>
  </w:style>
  <w:style w:type="paragraph" w:styleId="Heading1">
    <w:name w:val="heading 1"/>
    <w:basedOn w:val="Normal"/>
    <w:next w:val="Normal"/>
    <w:link w:val="Heading1Char"/>
    <w:uiPriority w:val="9"/>
    <w:qFormat/>
    <w:rsid w:val="002100B7"/>
    <w:pPr>
      <w:jc w:val="both"/>
      <w:outlineLvl w:val="0"/>
    </w:pPr>
    <w:rPr>
      <w:rFonts w:cs="Arial"/>
      <w:b/>
      <w:caps/>
      <w:szCs w:val="22"/>
      <w:u w:val="single"/>
    </w:rPr>
  </w:style>
  <w:style w:type="paragraph" w:styleId="Heading2">
    <w:name w:val="heading 2"/>
    <w:basedOn w:val="Normal"/>
    <w:next w:val="Normal"/>
    <w:qFormat/>
    <w:rsid w:val="002100B7"/>
    <w:pPr>
      <w:keepNext/>
      <w:ind w:left="360" w:hanging="360"/>
      <w:jc w:val="both"/>
      <w:outlineLvl w:val="1"/>
    </w:pPr>
    <w:rPr>
      <w:b/>
      <w:u w:val="single"/>
    </w:rPr>
  </w:style>
  <w:style w:type="paragraph" w:styleId="Heading3">
    <w:name w:val="heading 3"/>
    <w:basedOn w:val="Normal"/>
    <w:next w:val="Normal"/>
    <w:link w:val="Heading3Char"/>
    <w:qFormat/>
    <w:rsid w:val="002100B7"/>
    <w:pPr>
      <w:keepNext/>
      <w:ind w:left="720" w:hanging="360"/>
      <w:outlineLvl w:val="2"/>
    </w:pPr>
    <w:rPr>
      <w:b/>
    </w:rPr>
  </w:style>
  <w:style w:type="paragraph" w:styleId="Heading4">
    <w:name w:val="heading 4"/>
    <w:basedOn w:val="Normal"/>
    <w:next w:val="Normal"/>
    <w:qFormat/>
    <w:rsid w:val="002100B7"/>
    <w:pPr>
      <w:keepNext/>
      <w:suppressAutoHyphens/>
      <w:ind w:left="1080" w:hanging="360"/>
      <w:jc w:val="both"/>
      <w:outlineLvl w:val="3"/>
    </w:pPr>
    <w:rPr>
      <w:b/>
      <w:spacing w:val="-3"/>
    </w:rPr>
  </w:style>
  <w:style w:type="paragraph" w:styleId="Heading5">
    <w:name w:val="heading 5"/>
    <w:basedOn w:val="Normal"/>
    <w:next w:val="Normal"/>
    <w:pPr>
      <w:keepNext/>
      <w:outlineLvl w:val="4"/>
    </w:pPr>
    <w:rPr>
      <w:b/>
      <w:color w:val="FF0000"/>
    </w:rPr>
  </w:style>
  <w:style w:type="paragraph" w:styleId="Heading6">
    <w:name w:val="heading 6"/>
    <w:basedOn w:val="Normal"/>
    <w:next w:val="Normal"/>
    <w:pPr>
      <w:keepNext/>
      <w:jc w:val="center"/>
      <w:outlineLvl w:val="5"/>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pPr>
      <w:tabs>
        <w:tab w:val="left" w:leader="dot" w:pos="9000"/>
        <w:tab w:val="right" w:pos="9360"/>
      </w:tabs>
      <w:suppressAutoHyphens/>
      <w:spacing w:before="480"/>
      <w:ind w:left="720" w:right="720" w:hanging="720"/>
    </w:pPr>
  </w:style>
  <w:style w:type="paragraph" w:styleId="TOC2">
    <w:name w:val="toc 2"/>
    <w:basedOn w:val="Normal"/>
    <w:next w:val="Normal"/>
    <w:semiHidden/>
    <w:pPr>
      <w:tabs>
        <w:tab w:val="left" w:leader="dot" w:pos="9000"/>
        <w:tab w:val="right" w:pos="9360"/>
      </w:tabs>
      <w:suppressAutoHyphens/>
      <w:ind w:left="1440" w:right="720" w:hanging="720"/>
    </w:pPr>
  </w:style>
  <w:style w:type="paragraph" w:styleId="TOC3">
    <w:name w:val="toc 3"/>
    <w:basedOn w:val="Normal"/>
    <w:next w:val="Normal"/>
    <w:semiHidden/>
    <w:pPr>
      <w:tabs>
        <w:tab w:val="left" w:leader="dot" w:pos="9000"/>
        <w:tab w:val="right" w:pos="9360"/>
      </w:tabs>
      <w:suppressAutoHyphens/>
      <w:ind w:left="2160" w:right="720" w:hanging="720"/>
    </w:pPr>
  </w:style>
  <w:style w:type="paragraph" w:styleId="TOC4">
    <w:name w:val="toc 4"/>
    <w:basedOn w:val="Normal"/>
    <w:next w:val="Normal"/>
    <w:semiHidden/>
    <w:pPr>
      <w:tabs>
        <w:tab w:val="left" w:leader="dot" w:pos="9000"/>
        <w:tab w:val="right" w:pos="9360"/>
      </w:tabs>
      <w:suppressAutoHyphens/>
      <w:ind w:left="2880" w:right="720" w:hanging="720"/>
    </w:pPr>
  </w:style>
  <w:style w:type="paragraph" w:styleId="TOC5">
    <w:name w:val="toc 5"/>
    <w:basedOn w:val="Normal"/>
    <w:next w:val="Normal"/>
    <w:semiHidden/>
    <w:pPr>
      <w:tabs>
        <w:tab w:val="left" w:leader="dot" w:pos="9000"/>
        <w:tab w:val="right" w:pos="9360"/>
      </w:tabs>
      <w:suppressAutoHyphens/>
      <w:ind w:left="3600" w:right="720" w:hanging="720"/>
    </w:pPr>
  </w:style>
  <w:style w:type="paragraph" w:styleId="TOC6">
    <w:name w:val="toc 6"/>
    <w:basedOn w:val="Normal"/>
    <w:next w:val="Normal"/>
    <w:semiHidden/>
    <w:pPr>
      <w:tabs>
        <w:tab w:val="left" w:pos="9000"/>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left" w:pos="9000"/>
        <w:tab w:val="right" w:pos="9360"/>
      </w:tabs>
      <w:suppressAutoHyphens/>
      <w:ind w:left="720" w:hanging="720"/>
    </w:pPr>
  </w:style>
  <w:style w:type="paragraph" w:styleId="TOC9">
    <w:name w:val="toc 9"/>
    <w:basedOn w:val="Normal"/>
    <w:next w:val="Normal"/>
    <w:semiHidden/>
    <w:pPr>
      <w:tabs>
        <w:tab w:val="left" w:leader="dot" w:pos="9000"/>
        <w:tab w:val="right" w:pos="9360"/>
      </w:tabs>
      <w:suppressAutoHyphens/>
      <w:ind w:left="720" w:hanging="720"/>
    </w:pPr>
  </w:style>
  <w:style w:type="paragraph" w:styleId="Index1">
    <w:name w:val="index 1"/>
    <w:basedOn w:val="Normal"/>
    <w:next w:val="Normal"/>
    <w:semiHidden/>
    <w:pPr>
      <w:tabs>
        <w:tab w:val="left" w:leader="dot" w:pos="9000"/>
        <w:tab w:val="right" w:pos="9360"/>
      </w:tabs>
      <w:suppressAutoHyphens/>
      <w:ind w:left="1440" w:right="720" w:hanging="1440"/>
    </w:pPr>
  </w:style>
  <w:style w:type="paragraph" w:styleId="Index2">
    <w:name w:val="index 2"/>
    <w:basedOn w:val="Normal"/>
    <w:next w:val="Normal"/>
    <w:semiHidden/>
    <w:pPr>
      <w:tabs>
        <w:tab w:val="left" w:leader="dot" w:pos="9000"/>
        <w:tab w:val="right" w:pos="9360"/>
      </w:tabs>
      <w:suppressAutoHyphens/>
      <w:ind w:left="1440" w:right="720" w:hanging="720"/>
    </w:pPr>
  </w:style>
  <w:style w:type="paragraph" w:styleId="TOAHeading">
    <w:name w:val="toa heading"/>
    <w:basedOn w:val="Normal"/>
    <w:next w:val="Normal"/>
    <w:semiHidden/>
    <w:pPr>
      <w:tabs>
        <w:tab w:val="left" w:pos="9000"/>
        <w:tab w:val="right" w:pos="9360"/>
      </w:tabs>
      <w:suppressAutoHyphens/>
    </w:pPr>
  </w:style>
  <w:style w:type="paragraph" w:styleId="Caption">
    <w:name w:val="caption"/>
    <w:basedOn w:val="Normal"/>
    <w:next w:val="Normal"/>
  </w:style>
  <w:style w:type="character" w:customStyle="1" w:styleId="EquationCaption">
    <w:name w:val="_Equation Caption"/>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link w:val="BodyTextChar"/>
    <w:uiPriority w:val="1"/>
    <w:pPr>
      <w:jc w:val="both"/>
    </w:pPr>
  </w:style>
  <w:style w:type="character" w:styleId="Hyperlink">
    <w:name w:val="Hyperlink"/>
    <w:rPr>
      <w:color w:val="0000FF"/>
      <w:u w:val="single"/>
    </w:rPr>
  </w:style>
  <w:style w:type="paragraph" w:styleId="BodyText2">
    <w:name w:val="Body Text 2"/>
    <w:basedOn w:val="Normal"/>
    <w:link w:val="BodyText2Char"/>
  </w:style>
  <w:style w:type="paragraph" w:styleId="FootnoteText">
    <w:name w:val="footnote text"/>
    <w:aliases w:val="Footnote Text Char1 Char,TBG Style Char Char Char,Footnote Text Char2,Footnote Text Char1,TBG Style Char Char,Footnote Text Char3 Char,Footnote Text Char Char Char,Footnote Text Char1 Char Char Char,Footnote Text Char3"/>
    <w:basedOn w:val="Normal"/>
    <w:link w:val="FootnoteTextChar"/>
    <w:rPr>
      <w:sz w:val="20"/>
    </w:rPr>
  </w:style>
  <w:style w:type="character" w:styleId="FootnoteReference">
    <w:name w:val="footnote reference"/>
    <w:aliases w:val="o"/>
    <w:rPr>
      <w:vertAlign w:val="superscript"/>
    </w:rPr>
  </w:style>
  <w:style w:type="paragraph" w:styleId="BodyTextIndent">
    <w:name w:val="Body Text Indent"/>
    <w:basedOn w:val="Normal"/>
    <w:link w:val="BodyTextIndentChar"/>
    <w:pPr>
      <w:ind w:left="1440" w:hanging="1440"/>
    </w:pPr>
    <w:rPr>
      <w:b/>
    </w:rPr>
  </w:style>
  <w:style w:type="character" w:styleId="FollowedHyperlink">
    <w:name w:val="FollowedHyperlink"/>
    <w:rPr>
      <w:color w:val="800080"/>
      <w:u w:val="single"/>
    </w:rPr>
  </w:style>
  <w:style w:type="paragraph" w:styleId="BalloonText">
    <w:name w:val="Balloon Text"/>
    <w:basedOn w:val="Normal"/>
    <w:semiHidden/>
    <w:rsid w:val="00065242"/>
    <w:rPr>
      <w:rFonts w:ascii="Tahoma" w:hAnsi="Tahoma" w:cs="Tahoma"/>
      <w:sz w:val="16"/>
      <w:szCs w:val="16"/>
    </w:rPr>
  </w:style>
  <w:style w:type="paragraph" w:styleId="NormalWeb">
    <w:name w:val="Normal (Web)"/>
    <w:basedOn w:val="Normal"/>
    <w:rsid w:val="00EB6842"/>
    <w:pPr>
      <w:spacing w:before="100" w:beforeAutospacing="1" w:after="100" w:afterAutospacing="1"/>
    </w:pPr>
    <w:rPr>
      <w:rFonts w:ascii="Times New Roman" w:hAnsi="Times New Roman"/>
      <w:szCs w:val="24"/>
    </w:rPr>
  </w:style>
  <w:style w:type="paragraph" w:styleId="BlockText">
    <w:name w:val="Block Text"/>
    <w:basedOn w:val="Normal"/>
    <w:rsid w:val="008D0C64"/>
    <w:rPr>
      <w:rFonts w:ascii="Times New Roman" w:hAnsi="Times New Roman"/>
    </w:rPr>
  </w:style>
  <w:style w:type="character" w:styleId="CommentReference">
    <w:name w:val="annotation reference"/>
    <w:uiPriority w:val="99"/>
    <w:semiHidden/>
    <w:rsid w:val="00EE207A"/>
    <w:rPr>
      <w:sz w:val="16"/>
      <w:szCs w:val="16"/>
    </w:rPr>
  </w:style>
  <w:style w:type="paragraph" w:styleId="CommentText">
    <w:name w:val="annotation text"/>
    <w:basedOn w:val="Normal"/>
    <w:link w:val="CommentTextChar"/>
    <w:uiPriority w:val="99"/>
    <w:semiHidden/>
    <w:rsid w:val="00EE207A"/>
    <w:rPr>
      <w:sz w:val="20"/>
    </w:rPr>
  </w:style>
  <w:style w:type="paragraph" w:styleId="CommentSubject">
    <w:name w:val="annotation subject"/>
    <w:basedOn w:val="CommentText"/>
    <w:next w:val="CommentText"/>
    <w:semiHidden/>
    <w:rsid w:val="00EE207A"/>
    <w:rPr>
      <w:b/>
      <w:bCs/>
    </w:rPr>
  </w:style>
  <w:style w:type="paragraph" w:customStyle="1" w:styleId="sub2">
    <w:name w:val="sub2"/>
    <w:basedOn w:val="Normal"/>
    <w:rsid w:val="00C4729C"/>
    <w:pPr>
      <w:spacing w:line="360" w:lineRule="auto"/>
      <w:ind w:firstLine="2160"/>
    </w:pPr>
    <w:rPr>
      <w:rFonts w:ascii="Palatino" w:hAnsi="Palatino"/>
      <w:sz w:val="26"/>
    </w:rPr>
  </w:style>
  <w:style w:type="character" w:styleId="Emphasis">
    <w:name w:val="Emphasis"/>
    <w:rsid w:val="00073E44"/>
    <w:rPr>
      <w:i/>
      <w:iCs/>
    </w:rPr>
  </w:style>
  <w:style w:type="character" w:customStyle="1" w:styleId="FootnoteTextChar">
    <w:name w:val="Footnote Text Char"/>
    <w:aliases w:val="Footnote Text Char1 Char Char,TBG Style Char Char Char Char,Footnote Text Char2 Char,Footnote Text Char1 Char1,TBG Style Char Char Char1,Footnote Text Char3 Char Char,Footnote Text Char Char Char Char,Footnote Text Char3 Char1"/>
    <w:link w:val="FootnoteText"/>
    <w:uiPriority w:val="99"/>
    <w:locked/>
    <w:rsid w:val="00F80BA2"/>
    <w:rPr>
      <w:rFonts w:ascii="Courier New" w:hAnsi="Courier New"/>
      <w:lang w:val="en-US" w:eastAsia="en-US" w:bidi="ar-SA"/>
    </w:rPr>
  </w:style>
  <w:style w:type="character" w:customStyle="1" w:styleId="BodyText2Char">
    <w:name w:val="Body Text 2 Char"/>
    <w:link w:val="BodyText2"/>
    <w:locked/>
    <w:rsid w:val="00F80BA2"/>
    <w:rPr>
      <w:rFonts w:ascii="Arial" w:hAnsi="Arial"/>
      <w:sz w:val="22"/>
      <w:lang w:val="en-US" w:eastAsia="en-US" w:bidi="ar-SA"/>
    </w:rPr>
  </w:style>
  <w:style w:type="paragraph" w:styleId="ListParagraph">
    <w:name w:val="List Paragraph"/>
    <w:basedOn w:val="Normal"/>
    <w:link w:val="ListParagraphChar"/>
    <w:uiPriority w:val="34"/>
    <w:qFormat/>
    <w:rsid w:val="00F044E8"/>
    <w:pPr>
      <w:spacing w:after="200" w:line="276" w:lineRule="auto"/>
      <w:ind w:left="720"/>
      <w:contextualSpacing/>
    </w:pPr>
    <w:rPr>
      <w:szCs w:val="22"/>
    </w:rPr>
  </w:style>
  <w:style w:type="paragraph" w:styleId="BodyText3">
    <w:name w:val="Body Text 3"/>
    <w:basedOn w:val="Normal"/>
    <w:link w:val="BodyText3Char"/>
    <w:rsid w:val="00BC0243"/>
    <w:pPr>
      <w:spacing w:after="120"/>
    </w:pPr>
    <w:rPr>
      <w:sz w:val="16"/>
      <w:szCs w:val="16"/>
    </w:rPr>
  </w:style>
  <w:style w:type="character" w:customStyle="1" w:styleId="BodyText3Char">
    <w:name w:val="Body Text 3 Char"/>
    <w:link w:val="BodyText3"/>
    <w:rsid w:val="00BC0243"/>
    <w:rPr>
      <w:rFonts w:ascii="Courier New" w:hAnsi="Courier New"/>
      <w:sz w:val="16"/>
      <w:szCs w:val="16"/>
    </w:rPr>
  </w:style>
  <w:style w:type="paragraph" w:styleId="BodyTextIndent2">
    <w:name w:val="Body Text Indent 2"/>
    <w:basedOn w:val="Normal"/>
    <w:link w:val="BodyTextIndent2Char"/>
    <w:rsid w:val="00BC0243"/>
    <w:pPr>
      <w:spacing w:after="120" w:line="480" w:lineRule="auto"/>
      <w:ind w:left="360"/>
    </w:pPr>
  </w:style>
  <w:style w:type="character" w:customStyle="1" w:styleId="BodyTextIndent2Char">
    <w:name w:val="Body Text Indent 2 Char"/>
    <w:link w:val="BodyTextIndent2"/>
    <w:rsid w:val="00BC0243"/>
    <w:rPr>
      <w:rFonts w:ascii="Courier New" w:hAnsi="Courier New"/>
      <w:sz w:val="24"/>
    </w:rPr>
  </w:style>
  <w:style w:type="paragraph" w:customStyle="1" w:styleId="NormalPalatino">
    <w:name w:val="Normal + Palatino"/>
    <w:aliases w:val="13 pt,Line spacing:  1.5 lines"/>
    <w:basedOn w:val="Normal"/>
    <w:rsid w:val="00BC0243"/>
    <w:pPr>
      <w:spacing w:line="360" w:lineRule="auto"/>
    </w:pPr>
    <w:rPr>
      <w:rFonts w:ascii="Palatino" w:hAnsi="Palatino"/>
      <w:sz w:val="26"/>
      <w:szCs w:val="26"/>
    </w:rPr>
  </w:style>
  <w:style w:type="character" w:customStyle="1" w:styleId="CommentTextChar">
    <w:name w:val="Comment Text Char"/>
    <w:link w:val="CommentText"/>
    <w:uiPriority w:val="99"/>
    <w:semiHidden/>
    <w:rsid w:val="001D0944"/>
    <w:rPr>
      <w:rFonts w:ascii="Courier New" w:hAnsi="Courier New"/>
    </w:rPr>
  </w:style>
  <w:style w:type="paragraph" w:customStyle="1" w:styleId="Default">
    <w:name w:val="Default"/>
    <w:rsid w:val="00A92093"/>
    <w:pPr>
      <w:autoSpaceDE w:val="0"/>
      <w:autoSpaceDN w:val="0"/>
      <w:adjustRightInd w:val="0"/>
    </w:pPr>
    <w:rPr>
      <w:rFonts w:ascii="Book Antiqua" w:hAnsi="Book Antiqua" w:cs="Book Antiqua"/>
      <w:color w:val="000000"/>
      <w:sz w:val="24"/>
      <w:szCs w:val="24"/>
    </w:rPr>
  </w:style>
  <w:style w:type="table" w:styleId="TableGrid">
    <w:name w:val="Table Grid"/>
    <w:basedOn w:val="TableNormal"/>
    <w:uiPriority w:val="59"/>
    <w:rsid w:val="00A0447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F044E8"/>
    <w:rPr>
      <w:rFonts w:ascii="Arial" w:hAnsi="Arial"/>
      <w:sz w:val="24"/>
      <w:szCs w:val="22"/>
    </w:rPr>
  </w:style>
  <w:style w:type="character" w:customStyle="1" w:styleId="HeaderChar">
    <w:name w:val="Header Char"/>
    <w:link w:val="Header"/>
    <w:rsid w:val="004B4219"/>
    <w:rPr>
      <w:rFonts w:ascii="Courier New" w:hAnsi="Courier New"/>
      <w:sz w:val="24"/>
    </w:rPr>
  </w:style>
  <w:style w:type="character" w:customStyle="1" w:styleId="FooterChar">
    <w:name w:val="Footer Char"/>
    <w:link w:val="Footer"/>
    <w:uiPriority w:val="99"/>
    <w:rsid w:val="004B4219"/>
    <w:rPr>
      <w:rFonts w:ascii="Courier New" w:hAnsi="Courier New"/>
      <w:sz w:val="24"/>
    </w:rPr>
  </w:style>
  <w:style w:type="paragraph" w:styleId="NoSpacing">
    <w:name w:val="No Spacing"/>
    <w:uiPriority w:val="1"/>
    <w:rsid w:val="007535B3"/>
    <w:rPr>
      <w:rFonts w:ascii="Calibri" w:eastAsia="Calibri" w:hAnsi="Calibri"/>
      <w:sz w:val="22"/>
      <w:szCs w:val="22"/>
    </w:rPr>
  </w:style>
  <w:style w:type="character" w:customStyle="1" w:styleId="BodyTextIndentChar">
    <w:name w:val="Body Text Indent Char"/>
    <w:link w:val="BodyTextIndent"/>
    <w:rsid w:val="00A65618"/>
    <w:rPr>
      <w:rFonts w:ascii="Arial" w:hAnsi="Arial"/>
      <w:b/>
      <w:sz w:val="22"/>
    </w:rPr>
  </w:style>
  <w:style w:type="paragraph" w:customStyle="1" w:styleId="Bullet1">
    <w:name w:val="Bullet1"/>
    <w:basedOn w:val="Normal"/>
    <w:rsid w:val="00A65618"/>
    <w:pPr>
      <w:numPr>
        <w:numId w:val="1"/>
      </w:numPr>
    </w:pPr>
    <w:rPr>
      <w:rFonts w:ascii="Times New Roman" w:hAnsi="Times New Roman"/>
      <w:sz w:val="20"/>
    </w:rPr>
  </w:style>
  <w:style w:type="character" w:customStyle="1" w:styleId="BodyTextChar">
    <w:name w:val="Body Text Char"/>
    <w:link w:val="BodyText"/>
    <w:uiPriority w:val="99"/>
    <w:rsid w:val="00A65618"/>
    <w:rPr>
      <w:rFonts w:ascii="Arial" w:hAnsi="Arial"/>
      <w:sz w:val="22"/>
    </w:rPr>
  </w:style>
  <w:style w:type="character" w:customStyle="1" w:styleId="Heading1Char">
    <w:name w:val="Heading 1 Char"/>
    <w:link w:val="Heading1"/>
    <w:uiPriority w:val="9"/>
    <w:rsid w:val="002100B7"/>
    <w:rPr>
      <w:rFonts w:ascii="Arial" w:hAnsi="Arial" w:cs="Arial"/>
      <w:b/>
      <w:caps/>
      <w:sz w:val="22"/>
      <w:szCs w:val="22"/>
      <w:u w:val="single"/>
    </w:rPr>
  </w:style>
  <w:style w:type="table" w:customStyle="1" w:styleId="TableGrid1">
    <w:name w:val="Table Grid1"/>
    <w:basedOn w:val="TableNormal"/>
    <w:next w:val="TableGrid"/>
    <w:uiPriority w:val="59"/>
    <w:rsid w:val="008E14A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D0237"/>
    <w:rPr>
      <w:rFonts w:ascii="Arial" w:hAnsi="Arial"/>
      <w:sz w:val="24"/>
    </w:rPr>
  </w:style>
  <w:style w:type="character" w:customStyle="1" w:styleId="Mention1">
    <w:name w:val="Mention1"/>
    <w:uiPriority w:val="99"/>
    <w:semiHidden/>
    <w:unhideWhenUsed/>
    <w:rsid w:val="00C66CED"/>
    <w:rPr>
      <w:color w:val="2B579A"/>
      <w:shd w:val="clear" w:color="auto" w:fill="E6E6E6"/>
    </w:rPr>
  </w:style>
  <w:style w:type="character" w:customStyle="1" w:styleId="Heading3Char">
    <w:name w:val="Heading 3 Char"/>
    <w:basedOn w:val="DefaultParagraphFont"/>
    <w:link w:val="Heading3"/>
    <w:rsid w:val="00965227"/>
    <w:rPr>
      <w:rFonts w:ascii="Arial" w:hAnsi="Arial"/>
      <w:b/>
      <w:sz w:val="22"/>
    </w:rPr>
  </w:style>
  <w:style w:type="character" w:styleId="UnresolvedMention">
    <w:name w:val="Unresolved Mention"/>
    <w:basedOn w:val="DefaultParagraphFont"/>
    <w:uiPriority w:val="99"/>
    <w:semiHidden/>
    <w:unhideWhenUsed/>
    <w:rsid w:val="00601EC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449323">
      <w:bodyDiv w:val="1"/>
      <w:marLeft w:val="0"/>
      <w:marRight w:val="0"/>
      <w:marTop w:val="0"/>
      <w:marBottom w:val="0"/>
      <w:divBdr>
        <w:top w:val="none" w:sz="0" w:space="0" w:color="auto"/>
        <w:left w:val="none" w:sz="0" w:space="0" w:color="auto"/>
        <w:bottom w:val="none" w:sz="0" w:space="0" w:color="auto"/>
        <w:right w:val="none" w:sz="0" w:space="0" w:color="auto"/>
      </w:divBdr>
    </w:div>
    <w:div w:id="118035685">
      <w:bodyDiv w:val="1"/>
      <w:marLeft w:val="0"/>
      <w:marRight w:val="0"/>
      <w:marTop w:val="0"/>
      <w:marBottom w:val="0"/>
      <w:divBdr>
        <w:top w:val="none" w:sz="0" w:space="0" w:color="auto"/>
        <w:left w:val="none" w:sz="0" w:space="0" w:color="auto"/>
        <w:bottom w:val="none" w:sz="0" w:space="0" w:color="auto"/>
        <w:right w:val="none" w:sz="0" w:space="0" w:color="auto"/>
      </w:divBdr>
      <w:divsChild>
        <w:div w:id="263920332">
          <w:marLeft w:val="1166"/>
          <w:marRight w:val="0"/>
          <w:marTop w:val="67"/>
          <w:marBottom w:val="240"/>
          <w:divBdr>
            <w:top w:val="none" w:sz="0" w:space="0" w:color="auto"/>
            <w:left w:val="none" w:sz="0" w:space="0" w:color="auto"/>
            <w:bottom w:val="none" w:sz="0" w:space="0" w:color="auto"/>
            <w:right w:val="none" w:sz="0" w:space="0" w:color="auto"/>
          </w:divBdr>
        </w:div>
        <w:div w:id="1538856928">
          <w:marLeft w:val="259"/>
          <w:marRight w:val="0"/>
          <w:marTop w:val="77"/>
          <w:marBottom w:val="240"/>
          <w:divBdr>
            <w:top w:val="none" w:sz="0" w:space="0" w:color="auto"/>
            <w:left w:val="none" w:sz="0" w:space="0" w:color="auto"/>
            <w:bottom w:val="none" w:sz="0" w:space="0" w:color="auto"/>
            <w:right w:val="none" w:sz="0" w:space="0" w:color="auto"/>
          </w:divBdr>
        </w:div>
        <w:div w:id="1844472885">
          <w:marLeft w:val="1166"/>
          <w:marRight w:val="0"/>
          <w:marTop w:val="67"/>
          <w:marBottom w:val="240"/>
          <w:divBdr>
            <w:top w:val="none" w:sz="0" w:space="0" w:color="auto"/>
            <w:left w:val="none" w:sz="0" w:space="0" w:color="auto"/>
            <w:bottom w:val="none" w:sz="0" w:space="0" w:color="auto"/>
            <w:right w:val="none" w:sz="0" w:space="0" w:color="auto"/>
          </w:divBdr>
        </w:div>
      </w:divsChild>
    </w:div>
    <w:div w:id="175461243">
      <w:bodyDiv w:val="1"/>
      <w:marLeft w:val="0"/>
      <w:marRight w:val="0"/>
      <w:marTop w:val="0"/>
      <w:marBottom w:val="0"/>
      <w:divBdr>
        <w:top w:val="none" w:sz="0" w:space="0" w:color="auto"/>
        <w:left w:val="none" w:sz="0" w:space="0" w:color="auto"/>
        <w:bottom w:val="none" w:sz="0" w:space="0" w:color="auto"/>
        <w:right w:val="none" w:sz="0" w:space="0" w:color="auto"/>
      </w:divBdr>
    </w:div>
    <w:div w:id="206383117">
      <w:bodyDiv w:val="1"/>
      <w:marLeft w:val="0"/>
      <w:marRight w:val="0"/>
      <w:marTop w:val="0"/>
      <w:marBottom w:val="0"/>
      <w:divBdr>
        <w:top w:val="none" w:sz="0" w:space="0" w:color="auto"/>
        <w:left w:val="none" w:sz="0" w:space="0" w:color="auto"/>
        <w:bottom w:val="none" w:sz="0" w:space="0" w:color="auto"/>
        <w:right w:val="none" w:sz="0" w:space="0" w:color="auto"/>
      </w:divBdr>
    </w:div>
    <w:div w:id="215969983">
      <w:bodyDiv w:val="1"/>
      <w:marLeft w:val="0"/>
      <w:marRight w:val="0"/>
      <w:marTop w:val="0"/>
      <w:marBottom w:val="0"/>
      <w:divBdr>
        <w:top w:val="none" w:sz="0" w:space="0" w:color="auto"/>
        <w:left w:val="none" w:sz="0" w:space="0" w:color="auto"/>
        <w:bottom w:val="none" w:sz="0" w:space="0" w:color="auto"/>
        <w:right w:val="none" w:sz="0" w:space="0" w:color="auto"/>
      </w:divBdr>
    </w:div>
    <w:div w:id="369107367">
      <w:bodyDiv w:val="1"/>
      <w:marLeft w:val="0"/>
      <w:marRight w:val="0"/>
      <w:marTop w:val="0"/>
      <w:marBottom w:val="0"/>
      <w:divBdr>
        <w:top w:val="none" w:sz="0" w:space="0" w:color="auto"/>
        <w:left w:val="none" w:sz="0" w:space="0" w:color="auto"/>
        <w:bottom w:val="none" w:sz="0" w:space="0" w:color="auto"/>
        <w:right w:val="none" w:sz="0" w:space="0" w:color="auto"/>
      </w:divBdr>
      <w:divsChild>
        <w:div w:id="1720855579">
          <w:marLeft w:val="0"/>
          <w:marRight w:val="0"/>
          <w:marTop w:val="0"/>
          <w:marBottom w:val="0"/>
          <w:divBdr>
            <w:top w:val="none" w:sz="0" w:space="0" w:color="auto"/>
            <w:left w:val="none" w:sz="0" w:space="0" w:color="auto"/>
            <w:bottom w:val="none" w:sz="0" w:space="0" w:color="auto"/>
            <w:right w:val="none" w:sz="0" w:space="0" w:color="auto"/>
          </w:divBdr>
          <w:divsChild>
            <w:div w:id="1678070198">
              <w:marLeft w:val="0"/>
              <w:marRight w:val="0"/>
              <w:marTop w:val="0"/>
              <w:marBottom w:val="0"/>
              <w:divBdr>
                <w:top w:val="none" w:sz="0" w:space="0" w:color="auto"/>
                <w:left w:val="none" w:sz="0" w:space="0" w:color="auto"/>
                <w:bottom w:val="none" w:sz="0" w:space="0" w:color="auto"/>
                <w:right w:val="none" w:sz="0" w:space="0" w:color="auto"/>
              </w:divBdr>
              <w:divsChild>
                <w:div w:id="356783258">
                  <w:marLeft w:val="0"/>
                  <w:marRight w:val="0"/>
                  <w:marTop w:val="0"/>
                  <w:marBottom w:val="0"/>
                  <w:divBdr>
                    <w:top w:val="none" w:sz="0" w:space="0" w:color="auto"/>
                    <w:left w:val="none" w:sz="0" w:space="0" w:color="auto"/>
                    <w:bottom w:val="none" w:sz="0" w:space="0" w:color="auto"/>
                    <w:right w:val="none" w:sz="0" w:space="0" w:color="auto"/>
                  </w:divBdr>
                  <w:divsChild>
                    <w:div w:id="232619201">
                      <w:marLeft w:val="0"/>
                      <w:marRight w:val="0"/>
                      <w:marTop w:val="0"/>
                      <w:marBottom w:val="0"/>
                      <w:divBdr>
                        <w:top w:val="none" w:sz="0" w:space="0" w:color="auto"/>
                        <w:left w:val="none" w:sz="0" w:space="0" w:color="auto"/>
                        <w:bottom w:val="none" w:sz="0" w:space="0" w:color="auto"/>
                        <w:right w:val="none" w:sz="0" w:space="0" w:color="auto"/>
                      </w:divBdr>
                      <w:divsChild>
                        <w:div w:id="283922144">
                          <w:marLeft w:val="0"/>
                          <w:marRight w:val="0"/>
                          <w:marTop w:val="0"/>
                          <w:marBottom w:val="0"/>
                          <w:divBdr>
                            <w:top w:val="none" w:sz="0" w:space="0" w:color="auto"/>
                            <w:left w:val="none" w:sz="0" w:space="0" w:color="auto"/>
                            <w:bottom w:val="none" w:sz="0" w:space="0" w:color="auto"/>
                            <w:right w:val="none" w:sz="0" w:space="0" w:color="auto"/>
                          </w:divBdr>
                          <w:divsChild>
                            <w:div w:id="180318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5591471">
      <w:bodyDiv w:val="1"/>
      <w:marLeft w:val="0"/>
      <w:marRight w:val="0"/>
      <w:marTop w:val="0"/>
      <w:marBottom w:val="0"/>
      <w:divBdr>
        <w:top w:val="none" w:sz="0" w:space="0" w:color="auto"/>
        <w:left w:val="none" w:sz="0" w:space="0" w:color="auto"/>
        <w:bottom w:val="none" w:sz="0" w:space="0" w:color="auto"/>
        <w:right w:val="none" w:sz="0" w:space="0" w:color="auto"/>
      </w:divBdr>
    </w:div>
    <w:div w:id="410198761">
      <w:bodyDiv w:val="1"/>
      <w:marLeft w:val="0"/>
      <w:marRight w:val="0"/>
      <w:marTop w:val="0"/>
      <w:marBottom w:val="0"/>
      <w:divBdr>
        <w:top w:val="none" w:sz="0" w:space="0" w:color="auto"/>
        <w:left w:val="none" w:sz="0" w:space="0" w:color="auto"/>
        <w:bottom w:val="none" w:sz="0" w:space="0" w:color="auto"/>
        <w:right w:val="none" w:sz="0" w:space="0" w:color="auto"/>
      </w:divBdr>
    </w:div>
    <w:div w:id="416827283">
      <w:bodyDiv w:val="1"/>
      <w:marLeft w:val="0"/>
      <w:marRight w:val="0"/>
      <w:marTop w:val="0"/>
      <w:marBottom w:val="0"/>
      <w:divBdr>
        <w:top w:val="none" w:sz="0" w:space="0" w:color="auto"/>
        <w:left w:val="none" w:sz="0" w:space="0" w:color="auto"/>
        <w:bottom w:val="none" w:sz="0" w:space="0" w:color="auto"/>
        <w:right w:val="none" w:sz="0" w:space="0" w:color="auto"/>
      </w:divBdr>
    </w:div>
    <w:div w:id="435443790">
      <w:bodyDiv w:val="1"/>
      <w:marLeft w:val="0"/>
      <w:marRight w:val="0"/>
      <w:marTop w:val="0"/>
      <w:marBottom w:val="0"/>
      <w:divBdr>
        <w:top w:val="none" w:sz="0" w:space="0" w:color="auto"/>
        <w:left w:val="none" w:sz="0" w:space="0" w:color="auto"/>
        <w:bottom w:val="none" w:sz="0" w:space="0" w:color="auto"/>
        <w:right w:val="none" w:sz="0" w:space="0" w:color="auto"/>
      </w:divBdr>
    </w:div>
    <w:div w:id="468594884">
      <w:bodyDiv w:val="1"/>
      <w:marLeft w:val="0"/>
      <w:marRight w:val="0"/>
      <w:marTop w:val="0"/>
      <w:marBottom w:val="0"/>
      <w:divBdr>
        <w:top w:val="none" w:sz="0" w:space="0" w:color="auto"/>
        <w:left w:val="none" w:sz="0" w:space="0" w:color="auto"/>
        <w:bottom w:val="none" w:sz="0" w:space="0" w:color="auto"/>
        <w:right w:val="none" w:sz="0" w:space="0" w:color="auto"/>
      </w:divBdr>
    </w:div>
    <w:div w:id="472673282">
      <w:bodyDiv w:val="1"/>
      <w:marLeft w:val="0"/>
      <w:marRight w:val="0"/>
      <w:marTop w:val="0"/>
      <w:marBottom w:val="0"/>
      <w:divBdr>
        <w:top w:val="none" w:sz="0" w:space="0" w:color="auto"/>
        <w:left w:val="none" w:sz="0" w:space="0" w:color="auto"/>
        <w:bottom w:val="none" w:sz="0" w:space="0" w:color="auto"/>
        <w:right w:val="none" w:sz="0" w:space="0" w:color="auto"/>
      </w:divBdr>
    </w:div>
    <w:div w:id="504440230">
      <w:bodyDiv w:val="1"/>
      <w:marLeft w:val="0"/>
      <w:marRight w:val="0"/>
      <w:marTop w:val="0"/>
      <w:marBottom w:val="0"/>
      <w:divBdr>
        <w:top w:val="none" w:sz="0" w:space="0" w:color="auto"/>
        <w:left w:val="none" w:sz="0" w:space="0" w:color="auto"/>
        <w:bottom w:val="none" w:sz="0" w:space="0" w:color="auto"/>
        <w:right w:val="none" w:sz="0" w:space="0" w:color="auto"/>
      </w:divBdr>
      <w:divsChild>
        <w:div w:id="330646690">
          <w:marLeft w:val="1166"/>
          <w:marRight w:val="0"/>
          <w:marTop w:val="67"/>
          <w:marBottom w:val="240"/>
          <w:divBdr>
            <w:top w:val="none" w:sz="0" w:space="0" w:color="auto"/>
            <w:left w:val="none" w:sz="0" w:space="0" w:color="auto"/>
            <w:bottom w:val="none" w:sz="0" w:space="0" w:color="auto"/>
            <w:right w:val="none" w:sz="0" w:space="0" w:color="auto"/>
          </w:divBdr>
        </w:div>
        <w:div w:id="421145724">
          <w:marLeft w:val="1166"/>
          <w:marRight w:val="0"/>
          <w:marTop w:val="67"/>
          <w:marBottom w:val="240"/>
          <w:divBdr>
            <w:top w:val="none" w:sz="0" w:space="0" w:color="auto"/>
            <w:left w:val="none" w:sz="0" w:space="0" w:color="auto"/>
            <w:bottom w:val="none" w:sz="0" w:space="0" w:color="auto"/>
            <w:right w:val="none" w:sz="0" w:space="0" w:color="auto"/>
          </w:divBdr>
        </w:div>
        <w:div w:id="462313258">
          <w:marLeft w:val="1166"/>
          <w:marRight w:val="0"/>
          <w:marTop w:val="67"/>
          <w:marBottom w:val="240"/>
          <w:divBdr>
            <w:top w:val="none" w:sz="0" w:space="0" w:color="auto"/>
            <w:left w:val="none" w:sz="0" w:space="0" w:color="auto"/>
            <w:bottom w:val="none" w:sz="0" w:space="0" w:color="auto"/>
            <w:right w:val="none" w:sz="0" w:space="0" w:color="auto"/>
          </w:divBdr>
        </w:div>
        <w:div w:id="547180240">
          <w:marLeft w:val="259"/>
          <w:marRight w:val="0"/>
          <w:marTop w:val="77"/>
          <w:marBottom w:val="240"/>
          <w:divBdr>
            <w:top w:val="none" w:sz="0" w:space="0" w:color="auto"/>
            <w:left w:val="none" w:sz="0" w:space="0" w:color="auto"/>
            <w:bottom w:val="none" w:sz="0" w:space="0" w:color="auto"/>
            <w:right w:val="none" w:sz="0" w:space="0" w:color="auto"/>
          </w:divBdr>
        </w:div>
        <w:div w:id="1278755243">
          <w:marLeft w:val="259"/>
          <w:marRight w:val="0"/>
          <w:marTop w:val="77"/>
          <w:marBottom w:val="240"/>
          <w:divBdr>
            <w:top w:val="none" w:sz="0" w:space="0" w:color="auto"/>
            <w:left w:val="none" w:sz="0" w:space="0" w:color="auto"/>
            <w:bottom w:val="none" w:sz="0" w:space="0" w:color="auto"/>
            <w:right w:val="none" w:sz="0" w:space="0" w:color="auto"/>
          </w:divBdr>
        </w:div>
        <w:div w:id="1701852028">
          <w:marLeft w:val="259"/>
          <w:marRight w:val="0"/>
          <w:marTop w:val="77"/>
          <w:marBottom w:val="240"/>
          <w:divBdr>
            <w:top w:val="none" w:sz="0" w:space="0" w:color="auto"/>
            <w:left w:val="none" w:sz="0" w:space="0" w:color="auto"/>
            <w:bottom w:val="none" w:sz="0" w:space="0" w:color="auto"/>
            <w:right w:val="none" w:sz="0" w:space="0" w:color="auto"/>
          </w:divBdr>
        </w:div>
        <w:div w:id="1953123328">
          <w:marLeft w:val="259"/>
          <w:marRight w:val="0"/>
          <w:marTop w:val="77"/>
          <w:marBottom w:val="240"/>
          <w:divBdr>
            <w:top w:val="none" w:sz="0" w:space="0" w:color="auto"/>
            <w:left w:val="none" w:sz="0" w:space="0" w:color="auto"/>
            <w:bottom w:val="none" w:sz="0" w:space="0" w:color="auto"/>
            <w:right w:val="none" w:sz="0" w:space="0" w:color="auto"/>
          </w:divBdr>
        </w:div>
      </w:divsChild>
    </w:div>
    <w:div w:id="554051011">
      <w:bodyDiv w:val="1"/>
      <w:marLeft w:val="0"/>
      <w:marRight w:val="0"/>
      <w:marTop w:val="0"/>
      <w:marBottom w:val="0"/>
      <w:divBdr>
        <w:top w:val="none" w:sz="0" w:space="0" w:color="auto"/>
        <w:left w:val="none" w:sz="0" w:space="0" w:color="auto"/>
        <w:bottom w:val="none" w:sz="0" w:space="0" w:color="auto"/>
        <w:right w:val="none" w:sz="0" w:space="0" w:color="auto"/>
      </w:divBdr>
      <w:divsChild>
        <w:div w:id="248664364">
          <w:marLeft w:val="259"/>
          <w:marRight w:val="0"/>
          <w:marTop w:val="77"/>
          <w:marBottom w:val="240"/>
          <w:divBdr>
            <w:top w:val="none" w:sz="0" w:space="0" w:color="auto"/>
            <w:left w:val="none" w:sz="0" w:space="0" w:color="auto"/>
            <w:bottom w:val="none" w:sz="0" w:space="0" w:color="auto"/>
            <w:right w:val="none" w:sz="0" w:space="0" w:color="auto"/>
          </w:divBdr>
        </w:div>
        <w:div w:id="591865331">
          <w:marLeft w:val="259"/>
          <w:marRight w:val="0"/>
          <w:marTop w:val="77"/>
          <w:marBottom w:val="240"/>
          <w:divBdr>
            <w:top w:val="none" w:sz="0" w:space="0" w:color="auto"/>
            <w:left w:val="none" w:sz="0" w:space="0" w:color="auto"/>
            <w:bottom w:val="none" w:sz="0" w:space="0" w:color="auto"/>
            <w:right w:val="none" w:sz="0" w:space="0" w:color="auto"/>
          </w:divBdr>
        </w:div>
        <w:div w:id="1208764318">
          <w:marLeft w:val="259"/>
          <w:marRight w:val="0"/>
          <w:marTop w:val="77"/>
          <w:marBottom w:val="240"/>
          <w:divBdr>
            <w:top w:val="none" w:sz="0" w:space="0" w:color="auto"/>
            <w:left w:val="none" w:sz="0" w:space="0" w:color="auto"/>
            <w:bottom w:val="none" w:sz="0" w:space="0" w:color="auto"/>
            <w:right w:val="none" w:sz="0" w:space="0" w:color="auto"/>
          </w:divBdr>
        </w:div>
        <w:div w:id="1344817977">
          <w:marLeft w:val="259"/>
          <w:marRight w:val="0"/>
          <w:marTop w:val="77"/>
          <w:marBottom w:val="240"/>
          <w:divBdr>
            <w:top w:val="none" w:sz="0" w:space="0" w:color="auto"/>
            <w:left w:val="none" w:sz="0" w:space="0" w:color="auto"/>
            <w:bottom w:val="none" w:sz="0" w:space="0" w:color="auto"/>
            <w:right w:val="none" w:sz="0" w:space="0" w:color="auto"/>
          </w:divBdr>
        </w:div>
        <w:div w:id="1674260803">
          <w:marLeft w:val="1166"/>
          <w:marRight w:val="0"/>
          <w:marTop w:val="67"/>
          <w:marBottom w:val="240"/>
          <w:divBdr>
            <w:top w:val="none" w:sz="0" w:space="0" w:color="auto"/>
            <w:left w:val="none" w:sz="0" w:space="0" w:color="auto"/>
            <w:bottom w:val="none" w:sz="0" w:space="0" w:color="auto"/>
            <w:right w:val="none" w:sz="0" w:space="0" w:color="auto"/>
          </w:divBdr>
        </w:div>
        <w:div w:id="1971545927">
          <w:marLeft w:val="1166"/>
          <w:marRight w:val="0"/>
          <w:marTop w:val="67"/>
          <w:marBottom w:val="240"/>
          <w:divBdr>
            <w:top w:val="none" w:sz="0" w:space="0" w:color="auto"/>
            <w:left w:val="none" w:sz="0" w:space="0" w:color="auto"/>
            <w:bottom w:val="none" w:sz="0" w:space="0" w:color="auto"/>
            <w:right w:val="none" w:sz="0" w:space="0" w:color="auto"/>
          </w:divBdr>
        </w:div>
        <w:div w:id="2072462190">
          <w:marLeft w:val="1166"/>
          <w:marRight w:val="0"/>
          <w:marTop w:val="67"/>
          <w:marBottom w:val="240"/>
          <w:divBdr>
            <w:top w:val="none" w:sz="0" w:space="0" w:color="auto"/>
            <w:left w:val="none" w:sz="0" w:space="0" w:color="auto"/>
            <w:bottom w:val="none" w:sz="0" w:space="0" w:color="auto"/>
            <w:right w:val="none" w:sz="0" w:space="0" w:color="auto"/>
          </w:divBdr>
        </w:div>
      </w:divsChild>
    </w:div>
    <w:div w:id="581380328">
      <w:bodyDiv w:val="1"/>
      <w:marLeft w:val="0"/>
      <w:marRight w:val="0"/>
      <w:marTop w:val="0"/>
      <w:marBottom w:val="0"/>
      <w:divBdr>
        <w:top w:val="none" w:sz="0" w:space="0" w:color="auto"/>
        <w:left w:val="none" w:sz="0" w:space="0" w:color="auto"/>
        <w:bottom w:val="none" w:sz="0" w:space="0" w:color="auto"/>
        <w:right w:val="none" w:sz="0" w:space="0" w:color="auto"/>
      </w:divBdr>
      <w:divsChild>
        <w:div w:id="98841813">
          <w:marLeft w:val="259"/>
          <w:marRight w:val="0"/>
          <w:marTop w:val="77"/>
          <w:marBottom w:val="240"/>
          <w:divBdr>
            <w:top w:val="none" w:sz="0" w:space="0" w:color="auto"/>
            <w:left w:val="none" w:sz="0" w:space="0" w:color="auto"/>
            <w:bottom w:val="none" w:sz="0" w:space="0" w:color="auto"/>
            <w:right w:val="none" w:sz="0" w:space="0" w:color="auto"/>
          </w:divBdr>
        </w:div>
        <w:div w:id="165439144">
          <w:marLeft w:val="1166"/>
          <w:marRight w:val="0"/>
          <w:marTop w:val="67"/>
          <w:marBottom w:val="240"/>
          <w:divBdr>
            <w:top w:val="none" w:sz="0" w:space="0" w:color="auto"/>
            <w:left w:val="none" w:sz="0" w:space="0" w:color="auto"/>
            <w:bottom w:val="none" w:sz="0" w:space="0" w:color="auto"/>
            <w:right w:val="none" w:sz="0" w:space="0" w:color="auto"/>
          </w:divBdr>
        </w:div>
        <w:div w:id="289554917">
          <w:marLeft w:val="259"/>
          <w:marRight w:val="0"/>
          <w:marTop w:val="77"/>
          <w:marBottom w:val="240"/>
          <w:divBdr>
            <w:top w:val="none" w:sz="0" w:space="0" w:color="auto"/>
            <w:left w:val="none" w:sz="0" w:space="0" w:color="auto"/>
            <w:bottom w:val="none" w:sz="0" w:space="0" w:color="auto"/>
            <w:right w:val="none" w:sz="0" w:space="0" w:color="auto"/>
          </w:divBdr>
        </w:div>
        <w:div w:id="414322693">
          <w:marLeft w:val="259"/>
          <w:marRight w:val="0"/>
          <w:marTop w:val="77"/>
          <w:marBottom w:val="240"/>
          <w:divBdr>
            <w:top w:val="none" w:sz="0" w:space="0" w:color="auto"/>
            <w:left w:val="none" w:sz="0" w:space="0" w:color="auto"/>
            <w:bottom w:val="none" w:sz="0" w:space="0" w:color="auto"/>
            <w:right w:val="none" w:sz="0" w:space="0" w:color="auto"/>
          </w:divBdr>
        </w:div>
        <w:div w:id="1169638448">
          <w:marLeft w:val="1166"/>
          <w:marRight w:val="0"/>
          <w:marTop w:val="67"/>
          <w:marBottom w:val="240"/>
          <w:divBdr>
            <w:top w:val="none" w:sz="0" w:space="0" w:color="auto"/>
            <w:left w:val="none" w:sz="0" w:space="0" w:color="auto"/>
            <w:bottom w:val="none" w:sz="0" w:space="0" w:color="auto"/>
            <w:right w:val="none" w:sz="0" w:space="0" w:color="auto"/>
          </w:divBdr>
        </w:div>
        <w:div w:id="1745451499">
          <w:marLeft w:val="1166"/>
          <w:marRight w:val="0"/>
          <w:marTop w:val="67"/>
          <w:marBottom w:val="240"/>
          <w:divBdr>
            <w:top w:val="none" w:sz="0" w:space="0" w:color="auto"/>
            <w:left w:val="none" w:sz="0" w:space="0" w:color="auto"/>
            <w:bottom w:val="none" w:sz="0" w:space="0" w:color="auto"/>
            <w:right w:val="none" w:sz="0" w:space="0" w:color="auto"/>
          </w:divBdr>
        </w:div>
      </w:divsChild>
    </w:div>
    <w:div w:id="746414825">
      <w:bodyDiv w:val="1"/>
      <w:marLeft w:val="0"/>
      <w:marRight w:val="0"/>
      <w:marTop w:val="0"/>
      <w:marBottom w:val="0"/>
      <w:divBdr>
        <w:top w:val="none" w:sz="0" w:space="0" w:color="auto"/>
        <w:left w:val="none" w:sz="0" w:space="0" w:color="auto"/>
        <w:bottom w:val="none" w:sz="0" w:space="0" w:color="auto"/>
        <w:right w:val="none" w:sz="0" w:space="0" w:color="auto"/>
      </w:divBdr>
    </w:div>
    <w:div w:id="752439059">
      <w:bodyDiv w:val="1"/>
      <w:marLeft w:val="0"/>
      <w:marRight w:val="0"/>
      <w:marTop w:val="0"/>
      <w:marBottom w:val="0"/>
      <w:divBdr>
        <w:top w:val="none" w:sz="0" w:space="0" w:color="auto"/>
        <w:left w:val="none" w:sz="0" w:space="0" w:color="auto"/>
        <w:bottom w:val="none" w:sz="0" w:space="0" w:color="auto"/>
        <w:right w:val="none" w:sz="0" w:space="0" w:color="auto"/>
      </w:divBdr>
      <w:divsChild>
        <w:div w:id="110904034">
          <w:marLeft w:val="259"/>
          <w:marRight w:val="0"/>
          <w:marTop w:val="77"/>
          <w:marBottom w:val="240"/>
          <w:divBdr>
            <w:top w:val="none" w:sz="0" w:space="0" w:color="auto"/>
            <w:left w:val="none" w:sz="0" w:space="0" w:color="auto"/>
            <w:bottom w:val="none" w:sz="0" w:space="0" w:color="auto"/>
            <w:right w:val="none" w:sz="0" w:space="0" w:color="auto"/>
          </w:divBdr>
        </w:div>
        <w:div w:id="298189922">
          <w:marLeft w:val="259"/>
          <w:marRight w:val="0"/>
          <w:marTop w:val="77"/>
          <w:marBottom w:val="240"/>
          <w:divBdr>
            <w:top w:val="none" w:sz="0" w:space="0" w:color="auto"/>
            <w:left w:val="none" w:sz="0" w:space="0" w:color="auto"/>
            <w:bottom w:val="none" w:sz="0" w:space="0" w:color="auto"/>
            <w:right w:val="none" w:sz="0" w:space="0" w:color="auto"/>
          </w:divBdr>
        </w:div>
        <w:div w:id="1131048192">
          <w:marLeft w:val="259"/>
          <w:marRight w:val="0"/>
          <w:marTop w:val="77"/>
          <w:marBottom w:val="240"/>
          <w:divBdr>
            <w:top w:val="none" w:sz="0" w:space="0" w:color="auto"/>
            <w:left w:val="none" w:sz="0" w:space="0" w:color="auto"/>
            <w:bottom w:val="none" w:sz="0" w:space="0" w:color="auto"/>
            <w:right w:val="none" w:sz="0" w:space="0" w:color="auto"/>
          </w:divBdr>
        </w:div>
        <w:div w:id="1861431064">
          <w:marLeft w:val="259"/>
          <w:marRight w:val="0"/>
          <w:marTop w:val="77"/>
          <w:marBottom w:val="240"/>
          <w:divBdr>
            <w:top w:val="none" w:sz="0" w:space="0" w:color="auto"/>
            <w:left w:val="none" w:sz="0" w:space="0" w:color="auto"/>
            <w:bottom w:val="none" w:sz="0" w:space="0" w:color="auto"/>
            <w:right w:val="none" w:sz="0" w:space="0" w:color="auto"/>
          </w:divBdr>
        </w:div>
      </w:divsChild>
    </w:div>
    <w:div w:id="763649542">
      <w:bodyDiv w:val="1"/>
      <w:marLeft w:val="0"/>
      <w:marRight w:val="0"/>
      <w:marTop w:val="0"/>
      <w:marBottom w:val="0"/>
      <w:divBdr>
        <w:top w:val="none" w:sz="0" w:space="0" w:color="auto"/>
        <w:left w:val="none" w:sz="0" w:space="0" w:color="auto"/>
        <w:bottom w:val="none" w:sz="0" w:space="0" w:color="auto"/>
        <w:right w:val="none" w:sz="0" w:space="0" w:color="auto"/>
      </w:divBdr>
    </w:div>
    <w:div w:id="765463549">
      <w:bodyDiv w:val="1"/>
      <w:marLeft w:val="0"/>
      <w:marRight w:val="0"/>
      <w:marTop w:val="0"/>
      <w:marBottom w:val="0"/>
      <w:divBdr>
        <w:top w:val="none" w:sz="0" w:space="0" w:color="auto"/>
        <w:left w:val="none" w:sz="0" w:space="0" w:color="auto"/>
        <w:bottom w:val="none" w:sz="0" w:space="0" w:color="auto"/>
        <w:right w:val="none" w:sz="0" w:space="0" w:color="auto"/>
      </w:divBdr>
    </w:div>
    <w:div w:id="791745967">
      <w:bodyDiv w:val="1"/>
      <w:marLeft w:val="0"/>
      <w:marRight w:val="0"/>
      <w:marTop w:val="0"/>
      <w:marBottom w:val="0"/>
      <w:divBdr>
        <w:top w:val="none" w:sz="0" w:space="0" w:color="auto"/>
        <w:left w:val="none" w:sz="0" w:space="0" w:color="auto"/>
        <w:bottom w:val="none" w:sz="0" w:space="0" w:color="auto"/>
        <w:right w:val="none" w:sz="0" w:space="0" w:color="auto"/>
      </w:divBdr>
      <w:divsChild>
        <w:div w:id="339284800">
          <w:marLeft w:val="259"/>
          <w:marRight w:val="0"/>
          <w:marTop w:val="77"/>
          <w:marBottom w:val="240"/>
          <w:divBdr>
            <w:top w:val="none" w:sz="0" w:space="0" w:color="auto"/>
            <w:left w:val="none" w:sz="0" w:space="0" w:color="auto"/>
            <w:bottom w:val="none" w:sz="0" w:space="0" w:color="auto"/>
            <w:right w:val="none" w:sz="0" w:space="0" w:color="auto"/>
          </w:divBdr>
        </w:div>
        <w:div w:id="361974270">
          <w:marLeft w:val="259"/>
          <w:marRight w:val="0"/>
          <w:marTop w:val="77"/>
          <w:marBottom w:val="240"/>
          <w:divBdr>
            <w:top w:val="none" w:sz="0" w:space="0" w:color="auto"/>
            <w:left w:val="none" w:sz="0" w:space="0" w:color="auto"/>
            <w:bottom w:val="none" w:sz="0" w:space="0" w:color="auto"/>
            <w:right w:val="none" w:sz="0" w:space="0" w:color="auto"/>
          </w:divBdr>
        </w:div>
        <w:div w:id="502404775">
          <w:marLeft w:val="1166"/>
          <w:marRight w:val="0"/>
          <w:marTop w:val="67"/>
          <w:marBottom w:val="240"/>
          <w:divBdr>
            <w:top w:val="none" w:sz="0" w:space="0" w:color="auto"/>
            <w:left w:val="none" w:sz="0" w:space="0" w:color="auto"/>
            <w:bottom w:val="none" w:sz="0" w:space="0" w:color="auto"/>
            <w:right w:val="none" w:sz="0" w:space="0" w:color="auto"/>
          </w:divBdr>
        </w:div>
        <w:div w:id="707996655">
          <w:marLeft w:val="259"/>
          <w:marRight w:val="0"/>
          <w:marTop w:val="77"/>
          <w:marBottom w:val="240"/>
          <w:divBdr>
            <w:top w:val="none" w:sz="0" w:space="0" w:color="auto"/>
            <w:left w:val="none" w:sz="0" w:space="0" w:color="auto"/>
            <w:bottom w:val="none" w:sz="0" w:space="0" w:color="auto"/>
            <w:right w:val="none" w:sz="0" w:space="0" w:color="auto"/>
          </w:divBdr>
        </w:div>
        <w:div w:id="1156799232">
          <w:marLeft w:val="1166"/>
          <w:marRight w:val="0"/>
          <w:marTop w:val="67"/>
          <w:marBottom w:val="240"/>
          <w:divBdr>
            <w:top w:val="none" w:sz="0" w:space="0" w:color="auto"/>
            <w:left w:val="none" w:sz="0" w:space="0" w:color="auto"/>
            <w:bottom w:val="none" w:sz="0" w:space="0" w:color="auto"/>
            <w:right w:val="none" w:sz="0" w:space="0" w:color="auto"/>
          </w:divBdr>
        </w:div>
        <w:div w:id="1540823314">
          <w:marLeft w:val="259"/>
          <w:marRight w:val="0"/>
          <w:marTop w:val="77"/>
          <w:marBottom w:val="240"/>
          <w:divBdr>
            <w:top w:val="none" w:sz="0" w:space="0" w:color="auto"/>
            <w:left w:val="none" w:sz="0" w:space="0" w:color="auto"/>
            <w:bottom w:val="none" w:sz="0" w:space="0" w:color="auto"/>
            <w:right w:val="none" w:sz="0" w:space="0" w:color="auto"/>
          </w:divBdr>
        </w:div>
        <w:div w:id="1678771339">
          <w:marLeft w:val="1166"/>
          <w:marRight w:val="0"/>
          <w:marTop w:val="67"/>
          <w:marBottom w:val="240"/>
          <w:divBdr>
            <w:top w:val="none" w:sz="0" w:space="0" w:color="auto"/>
            <w:left w:val="none" w:sz="0" w:space="0" w:color="auto"/>
            <w:bottom w:val="none" w:sz="0" w:space="0" w:color="auto"/>
            <w:right w:val="none" w:sz="0" w:space="0" w:color="auto"/>
          </w:divBdr>
        </w:div>
        <w:div w:id="1702439433">
          <w:marLeft w:val="1166"/>
          <w:marRight w:val="0"/>
          <w:marTop w:val="67"/>
          <w:marBottom w:val="240"/>
          <w:divBdr>
            <w:top w:val="none" w:sz="0" w:space="0" w:color="auto"/>
            <w:left w:val="none" w:sz="0" w:space="0" w:color="auto"/>
            <w:bottom w:val="none" w:sz="0" w:space="0" w:color="auto"/>
            <w:right w:val="none" w:sz="0" w:space="0" w:color="auto"/>
          </w:divBdr>
        </w:div>
        <w:div w:id="1997029473">
          <w:marLeft w:val="259"/>
          <w:marRight w:val="0"/>
          <w:marTop w:val="77"/>
          <w:marBottom w:val="240"/>
          <w:divBdr>
            <w:top w:val="none" w:sz="0" w:space="0" w:color="auto"/>
            <w:left w:val="none" w:sz="0" w:space="0" w:color="auto"/>
            <w:bottom w:val="none" w:sz="0" w:space="0" w:color="auto"/>
            <w:right w:val="none" w:sz="0" w:space="0" w:color="auto"/>
          </w:divBdr>
        </w:div>
        <w:div w:id="2091190387">
          <w:marLeft w:val="259"/>
          <w:marRight w:val="0"/>
          <w:marTop w:val="77"/>
          <w:marBottom w:val="240"/>
          <w:divBdr>
            <w:top w:val="none" w:sz="0" w:space="0" w:color="auto"/>
            <w:left w:val="none" w:sz="0" w:space="0" w:color="auto"/>
            <w:bottom w:val="none" w:sz="0" w:space="0" w:color="auto"/>
            <w:right w:val="none" w:sz="0" w:space="0" w:color="auto"/>
          </w:divBdr>
        </w:div>
      </w:divsChild>
    </w:div>
    <w:div w:id="810563253">
      <w:bodyDiv w:val="1"/>
      <w:marLeft w:val="0"/>
      <w:marRight w:val="0"/>
      <w:marTop w:val="0"/>
      <w:marBottom w:val="0"/>
      <w:divBdr>
        <w:top w:val="none" w:sz="0" w:space="0" w:color="auto"/>
        <w:left w:val="none" w:sz="0" w:space="0" w:color="auto"/>
        <w:bottom w:val="none" w:sz="0" w:space="0" w:color="auto"/>
        <w:right w:val="none" w:sz="0" w:space="0" w:color="auto"/>
      </w:divBdr>
      <w:divsChild>
        <w:div w:id="334505100">
          <w:marLeft w:val="0"/>
          <w:marRight w:val="0"/>
          <w:marTop w:val="0"/>
          <w:marBottom w:val="0"/>
          <w:divBdr>
            <w:top w:val="none" w:sz="0" w:space="0" w:color="auto"/>
            <w:left w:val="none" w:sz="0" w:space="0" w:color="auto"/>
            <w:bottom w:val="none" w:sz="0" w:space="0" w:color="auto"/>
            <w:right w:val="none" w:sz="0" w:space="0" w:color="auto"/>
          </w:divBdr>
          <w:divsChild>
            <w:div w:id="38800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730989">
      <w:bodyDiv w:val="1"/>
      <w:marLeft w:val="0"/>
      <w:marRight w:val="0"/>
      <w:marTop w:val="0"/>
      <w:marBottom w:val="0"/>
      <w:divBdr>
        <w:top w:val="none" w:sz="0" w:space="0" w:color="auto"/>
        <w:left w:val="none" w:sz="0" w:space="0" w:color="auto"/>
        <w:bottom w:val="none" w:sz="0" w:space="0" w:color="auto"/>
        <w:right w:val="none" w:sz="0" w:space="0" w:color="auto"/>
      </w:divBdr>
    </w:div>
    <w:div w:id="984549897">
      <w:bodyDiv w:val="1"/>
      <w:marLeft w:val="0"/>
      <w:marRight w:val="0"/>
      <w:marTop w:val="0"/>
      <w:marBottom w:val="0"/>
      <w:divBdr>
        <w:top w:val="none" w:sz="0" w:space="0" w:color="auto"/>
        <w:left w:val="none" w:sz="0" w:space="0" w:color="auto"/>
        <w:bottom w:val="none" w:sz="0" w:space="0" w:color="auto"/>
        <w:right w:val="none" w:sz="0" w:space="0" w:color="auto"/>
      </w:divBdr>
    </w:div>
    <w:div w:id="992442396">
      <w:bodyDiv w:val="1"/>
      <w:marLeft w:val="0"/>
      <w:marRight w:val="0"/>
      <w:marTop w:val="0"/>
      <w:marBottom w:val="0"/>
      <w:divBdr>
        <w:top w:val="none" w:sz="0" w:space="0" w:color="auto"/>
        <w:left w:val="none" w:sz="0" w:space="0" w:color="auto"/>
        <w:bottom w:val="none" w:sz="0" w:space="0" w:color="auto"/>
        <w:right w:val="none" w:sz="0" w:space="0" w:color="auto"/>
      </w:divBdr>
      <w:divsChild>
        <w:div w:id="212811074">
          <w:marLeft w:val="259"/>
          <w:marRight w:val="0"/>
          <w:marTop w:val="77"/>
          <w:marBottom w:val="240"/>
          <w:divBdr>
            <w:top w:val="none" w:sz="0" w:space="0" w:color="auto"/>
            <w:left w:val="none" w:sz="0" w:space="0" w:color="auto"/>
            <w:bottom w:val="none" w:sz="0" w:space="0" w:color="auto"/>
            <w:right w:val="none" w:sz="0" w:space="0" w:color="auto"/>
          </w:divBdr>
        </w:div>
        <w:div w:id="411705110">
          <w:marLeft w:val="1166"/>
          <w:marRight w:val="0"/>
          <w:marTop w:val="67"/>
          <w:marBottom w:val="240"/>
          <w:divBdr>
            <w:top w:val="none" w:sz="0" w:space="0" w:color="auto"/>
            <w:left w:val="none" w:sz="0" w:space="0" w:color="auto"/>
            <w:bottom w:val="none" w:sz="0" w:space="0" w:color="auto"/>
            <w:right w:val="none" w:sz="0" w:space="0" w:color="auto"/>
          </w:divBdr>
        </w:div>
        <w:div w:id="501430696">
          <w:marLeft w:val="1166"/>
          <w:marRight w:val="0"/>
          <w:marTop w:val="67"/>
          <w:marBottom w:val="240"/>
          <w:divBdr>
            <w:top w:val="none" w:sz="0" w:space="0" w:color="auto"/>
            <w:left w:val="none" w:sz="0" w:space="0" w:color="auto"/>
            <w:bottom w:val="none" w:sz="0" w:space="0" w:color="auto"/>
            <w:right w:val="none" w:sz="0" w:space="0" w:color="auto"/>
          </w:divBdr>
        </w:div>
        <w:div w:id="578251304">
          <w:marLeft w:val="1166"/>
          <w:marRight w:val="0"/>
          <w:marTop w:val="67"/>
          <w:marBottom w:val="240"/>
          <w:divBdr>
            <w:top w:val="none" w:sz="0" w:space="0" w:color="auto"/>
            <w:left w:val="none" w:sz="0" w:space="0" w:color="auto"/>
            <w:bottom w:val="none" w:sz="0" w:space="0" w:color="auto"/>
            <w:right w:val="none" w:sz="0" w:space="0" w:color="auto"/>
          </w:divBdr>
        </w:div>
        <w:div w:id="1970431077">
          <w:marLeft w:val="1166"/>
          <w:marRight w:val="0"/>
          <w:marTop w:val="67"/>
          <w:marBottom w:val="240"/>
          <w:divBdr>
            <w:top w:val="none" w:sz="0" w:space="0" w:color="auto"/>
            <w:left w:val="none" w:sz="0" w:space="0" w:color="auto"/>
            <w:bottom w:val="none" w:sz="0" w:space="0" w:color="auto"/>
            <w:right w:val="none" w:sz="0" w:space="0" w:color="auto"/>
          </w:divBdr>
        </w:div>
        <w:div w:id="2123499192">
          <w:marLeft w:val="1166"/>
          <w:marRight w:val="0"/>
          <w:marTop w:val="67"/>
          <w:marBottom w:val="240"/>
          <w:divBdr>
            <w:top w:val="none" w:sz="0" w:space="0" w:color="auto"/>
            <w:left w:val="none" w:sz="0" w:space="0" w:color="auto"/>
            <w:bottom w:val="none" w:sz="0" w:space="0" w:color="auto"/>
            <w:right w:val="none" w:sz="0" w:space="0" w:color="auto"/>
          </w:divBdr>
        </w:div>
      </w:divsChild>
    </w:div>
    <w:div w:id="1018121073">
      <w:bodyDiv w:val="1"/>
      <w:marLeft w:val="0"/>
      <w:marRight w:val="0"/>
      <w:marTop w:val="0"/>
      <w:marBottom w:val="0"/>
      <w:divBdr>
        <w:top w:val="none" w:sz="0" w:space="0" w:color="auto"/>
        <w:left w:val="none" w:sz="0" w:space="0" w:color="auto"/>
        <w:bottom w:val="none" w:sz="0" w:space="0" w:color="auto"/>
        <w:right w:val="none" w:sz="0" w:space="0" w:color="auto"/>
      </w:divBdr>
      <w:divsChild>
        <w:div w:id="999389854">
          <w:marLeft w:val="0"/>
          <w:marRight w:val="0"/>
          <w:marTop w:val="0"/>
          <w:marBottom w:val="0"/>
          <w:divBdr>
            <w:top w:val="none" w:sz="0" w:space="0" w:color="auto"/>
            <w:left w:val="none" w:sz="0" w:space="0" w:color="auto"/>
            <w:bottom w:val="none" w:sz="0" w:space="0" w:color="auto"/>
            <w:right w:val="none" w:sz="0" w:space="0" w:color="auto"/>
          </w:divBdr>
          <w:divsChild>
            <w:div w:id="1261640100">
              <w:marLeft w:val="0"/>
              <w:marRight w:val="0"/>
              <w:marTop w:val="0"/>
              <w:marBottom w:val="0"/>
              <w:divBdr>
                <w:top w:val="none" w:sz="0" w:space="0" w:color="auto"/>
                <w:left w:val="none" w:sz="0" w:space="0" w:color="auto"/>
                <w:bottom w:val="none" w:sz="0" w:space="0" w:color="auto"/>
                <w:right w:val="none" w:sz="0" w:space="0" w:color="auto"/>
              </w:divBdr>
              <w:divsChild>
                <w:div w:id="2012486633">
                  <w:marLeft w:val="0"/>
                  <w:marRight w:val="0"/>
                  <w:marTop w:val="0"/>
                  <w:marBottom w:val="0"/>
                  <w:divBdr>
                    <w:top w:val="none" w:sz="0" w:space="0" w:color="auto"/>
                    <w:left w:val="none" w:sz="0" w:space="0" w:color="auto"/>
                    <w:bottom w:val="none" w:sz="0" w:space="0" w:color="auto"/>
                    <w:right w:val="none" w:sz="0" w:space="0" w:color="auto"/>
                  </w:divBdr>
                  <w:divsChild>
                    <w:div w:id="1800293941">
                      <w:marLeft w:val="0"/>
                      <w:marRight w:val="0"/>
                      <w:marTop w:val="0"/>
                      <w:marBottom w:val="0"/>
                      <w:divBdr>
                        <w:top w:val="none" w:sz="0" w:space="0" w:color="auto"/>
                        <w:left w:val="none" w:sz="0" w:space="0" w:color="auto"/>
                        <w:bottom w:val="none" w:sz="0" w:space="0" w:color="auto"/>
                        <w:right w:val="none" w:sz="0" w:space="0" w:color="auto"/>
                      </w:divBdr>
                      <w:divsChild>
                        <w:div w:id="18509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0491682">
      <w:bodyDiv w:val="1"/>
      <w:marLeft w:val="0"/>
      <w:marRight w:val="0"/>
      <w:marTop w:val="0"/>
      <w:marBottom w:val="0"/>
      <w:divBdr>
        <w:top w:val="none" w:sz="0" w:space="0" w:color="auto"/>
        <w:left w:val="none" w:sz="0" w:space="0" w:color="auto"/>
        <w:bottom w:val="none" w:sz="0" w:space="0" w:color="auto"/>
        <w:right w:val="none" w:sz="0" w:space="0" w:color="auto"/>
      </w:divBdr>
      <w:divsChild>
        <w:div w:id="641816165">
          <w:marLeft w:val="259"/>
          <w:marRight w:val="0"/>
          <w:marTop w:val="77"/>
          <w:marBottom w:val="240"/>
          <w:divBdr>
            <w:top w:val="none" w:sz="0" w:space="0" w:color="auto"/>
            <w:left w:val="none" w:sz="0" w:space="0" w:color="auto"/>
            <w:bottom w:val="none" w:sz="0" w:space="0" w:color="auto"/>
            <w:right w:val="none" w:sz="0" w:space="0" w:color="auto"/>
          </w:divBdr>
        </w:div>
        <w:div w:id="1528710461">
          <w:marLeft w:val="1166"/>
          <w:marRight w:val="0"/>
          <w:marTop w:val="67"/>
          <w:marBottom w:val="240"/>
          <w:divBdr>
            <w:top w:val="none" w:sz="0" w:space="0" w:color="auto"/>
            <w:left w:val="none" w:sz="0" w:space="0" w:color="auto"/>
            <w:bottom w:val="none" w:sz="0" w:space="0" w:color="auto"/>
            <w:right w:val="none" w:sz="0" w:space="0" w:color="auto"/>
          </w:divBdr>
        </w:div>
      </w:divsChild>
    </w:div>
    <w:div w:id="1074667676">
      <w:bodyDiv w:val="1"/>
      <w:marLeft w:val="0"/>
      <w:marRight w:val="0"/>
      <w:marTop w:val="0"/>
      <w:marBottom w:val="0"/>
      <w:divBdr>
        <w:top w:val="none" w:sz="0" w:space="0" w:color="auto"/>
        <w:left w:val="none" w:sz="0" w:space="0" w:color="auto"/>
        <w:bottom w:val="none" w:sz="0" w:space="0" w:color="auto"/>
        <w:right w:val="none" w:sz="0" w:space="0" w:color="auto"/>
      </w:divBdr>
      <w:divsChild>
        <w:div w:id="722556986">
          <w:marLeft w:val="0"/>
          <w:marRight w:val="0"/>
          <w:marTop w:val="0"/>
          <w:marBottom w:val="0"/>
          <w:divBdr>
            <w:top w:val="none" w:sz="0" w:space="0" w:color="auto"/>
            <w:left w:val="none" w:sz="0" w:space="0" w:color="auto"/>
            <w:bottom w:val="none" w:sz="0" w:space="0" w:color="auto"/>
            <w:right w:val="none" w:sz="0" w:space="0" w:color="auto"/>
          </w:divBdr>
          <w:divsChild>
            <w:div w:id="107015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363009">
      <w:bodyDiv w:val="1"/>
      <w:marLeft w:val="0"/>
      <w:marRight w:val="0"/>
      <w:marTop w:val="0"/>
      <w:marBottom w:val="0"/>
      <w:divBdr>
        <w:top w:val="none" w:sz="0" w:space="0" w:color="auto"/>
        <w:left w:val="none" w:sz="0" w:space="0" w:color="auto"/>
        <w:bottom w:val="none" w:sz="0" w:space="0" w:color="auto"/>
        <w:right w:val="none" w:sz="0" w:space="0" w:color="auto"/>
      </w:divBdr>
    </w:div>
    <w:div w:id="1155999482">
      <w:bodyDiv w:val="1"/>
      <w:marLeft w:val="0"/>
      <w:marRight w:val="0"/>
      <w:marTop w:val="0"/>
      <w:marBottom w:val="0"/>
      <w:divBdr>
        <w:top w:val="none" w:sz="0" w:space="0" w:color="auto"/>
        <w:left w:val="none" w:sz="0" w:space="0" w:color="auto"/>
        <w:bottom w:val="none" w:sz="0" w:space="0" w:color="auto"/>
        <w:right w:val="none" w:sz="0" w:space="0" w:color="auto"/>
      </w:divBdr>
      <w:divsChild>
        <w:div w:id="410322809">
          <w:marLeft w:val="0"/>
          <w:marRight w:val="0"/>
          <w:marTop w:val="0"/>
          <w:marBottom w:val="0"/>
          <w:divBdr>
            <w:top w:val="none" w:sz="0" w:space="0" w:color="auto"/>
            <w:left w:val="none" w:sz="0" w:space="0" w:color="auto"/>
            <w:bottom w:val="none" w:sz="0" w:space="0" w:color="auto"/>
            <w:right w:val="none" w:sz="0" w:space="0" w:color="auto"/>
          </w:divBdr>
          <w:divsChild>
            <w:div w:id="407964146">
              <w:marLeft w:val="0"/>
              <w:marRight w:val="0"/>
              <w:marTop w:val="0"/>
              <w:marBottom w:val="0"/>
              <w:divBdr>
                <w:top w:val="none" w:sz="0" w:space="0" w:color="auto"/>
                <w:left w:val="none" w:sz="0" w:space="0" w:color="auto"/>
                <w:bottom w:val="none" w:sz="0" w:space="0" w:color="auto"/>
                <w:right w:val="none" w:sz="0" w:space="0" w:color="auto"/>
              </w:divBdr>
              <w:divsChild>
                <w:div w:id="1498299470">
                  <w:marLeft w:val="0"/>
                  <w:marRight w:val="0"/>
                  <w:marTop w:val="0"/>
                  <w:marBottom w:val="0"/>
                  <w:divBdr>
                    <w:top w:val="none" w:sz="0" w:space="0" w:color="auto"/>
                    <w:left w:val="none" w:sz="0" w:space="0" w:color="auto"/>
                    <w:bottom w:val="none" w:sz="0" w:space="0" w:color="auto"/>
                    <w:right w:val="none" w:sz="0" w:space="0" w:color="auto"/>
                  </w:divBdr>
                  <w:divsChild>
                    <w:div w:id="1075972933">
                      <w:marLeft w:val="0"/>
                      <w:marRight w:val="0"/>
                      <w:marTop w:val="0"/>
                      <w:marBottom w:val="0"/>
                      <w:divBdr>
                        <w:top w:val="none" w:sz="0" w:space="0" w:color="auto"/>
                        <w:left w:val="none" w:sz="0" w:space="0" w:color="auto"/>
                        <w:bottom w:val="none" w:sz="0" w:space="0" w:color="auto"/>
                        <w:right w:val="none" w:sz="0" w:space="0" w:color="auto"/>
                      </w:divBdr>
                      <w:divsChild>
                        <w:div w:id="99957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9489928">
      <w:bodyDiv w:val="1"/>
      <w:marLeft w:val="0"/>
      <w:marRight w:val="0"/>
      <w:marTop w:val="0"/>
      <w:marBottom w:val="0"/>
      <w:divBdr>
        <w:top w:val="none" w:sz="0" w:space="0" w:color="auto"/>
        <w:left w:val="none" w:sz="0" w:space="0" w:color="auto"/>
        <w:bottom w:val="none" w:sz="0" w:space="0" w:color="auto"/>
        <w:right w:val="none" w:sz="0" w:space="0" w:color="auto"/>
      </w:divBdr>
    </w:div>
    <w:div w:id="1177622953">
      <w:bodyDiv w:val="1"/>
      <w:marLeft w:val="0"/>
      <w:marRight w:val="0"/>
      <w:marTop w:val="0"/>
      <w:marBottom w:val="0"/>
      <w:divBdr>
        <w:top w:val="none" w:sz="0" w:space="0" w:color="auto"/>
        <w:left w:val="none" w:sz="0" w:space="0" w:color="auto"/>
        <w:bottom w:val="none" w:sz="0" w:space="0" w:color="auto"/>
        <w:right w:val="none" w:sz="0" w:space="0" w:color="auto"/>
      </w:divBdr>
      <w:divsChild>
        <w:div w:id="552544798">
          <w:marLeft w:val="1166"/>
          <w:marRight w:val="0"/>
          <w:marTop w:val="67"/>
          <w:marBottom w:val="240"/>
          <w:divBdr>
            <w:top w:val="none" w:sz="0" w:space="0" w:color="auto"/>
            <w:left w:val="none" w:sz="0" w:space="0" w:color="auto"/>
            <w:bottom w:val="none" w:sz="0" w:space="0" w:color="auto"/>
            <w:right w:val="none" w:sz="0" w:space="0" w:color="auto"/>
          </w:divBdr>
        </w:div>
        <w:div w:id="2121753808">
          <w:marLeft w:val="1166"/>
          <w:marRight w:val="0"/>
          <w:marTop w:val="67"/>
          <w:marBottom w:val="240"/>
          <w:divBdr>
            <w:top w:val="none" w:sz="0" w:space="0" w:color="auto"/>
            <w:left w:val="none" w:sz="0" w:space="0" w:color="auto"/>
            <w:bottom w:val="none" w:sz="0" w:space="0" w:color="auto"/>
            <w:right w:val="none" w:sz="0" w:space="0" w:color="auto"/>
          </w:divBdr>
        </w:div>
      </w:divsChild>
    </w:div>
    <w:div w:id="1180123058">
      <w:bodyDiv w:val="1"/>
      <w:marLeft w:val="0"/>
      <w:marRight w:val="0"/>
      <w:marTop w:val="0"/>
      <w:marBottom w:val="0"/>
      <w:divBdr>
        <w:top w:val="none" w:sz="0" w:space="0" w:color="auto"/>
        <w:left w:val="none" w:sz="0" w:space="0" w:color="auto"/>
        <w:bottom w:val="none" w:sz="0" w:space="0" w:color="auto"/>
        <w:right w:val="none" w:sz="0" w:space="0" w:color="auto"/>
      </w:divBdr>
    </w:div>
    <w:div w:id="1195657411">
      <w:bodyDiv w:val="1"/>
      <w:marLeft w:val="0"/>
      <w:marRight w:val="0"/>
      <w:marTop w:val="0"/>
      <w:marBottom w:val="0"/>
      <w:divBdr>
        <w:top w:val="none" w:sz="0" w:space="0" w:color="auto"/>
        <w:left w:val="none" w:sz="0" w:space="0" w:color="auto"/>
        <w:bottom w:val="none" w:sz="0" w:space="0" w:color="auto"/>
        <w:right w:val="none" w:sz="0" w:space="0" w:color="auto"/>
      </w:divBdr>
    </w:div>
    <w:div w:id="1246108052">
      <w:bodyDiv w:val="1"/>
      <w:marLeft w:val="0"/>
      <w:marRight w:val="0"/>
      <w:marTop w:val="0"/>
      <w:marBottom w:val="0"/>
      <w:divBdr>
        <w:top w:val="none" w:sz="0" w:space="0" w:color="auto"/>
        <w:left w:val="none" w:sz="0" w:space="0" w:color="auto"/>
        <w:bottom w:val="none" w:sz="0" w:space="0" w:color="auto"/>
        <w:right w:val="none" w:sz="0" w:space="0" w:color="auto"/>
      </w:divBdr>
      <w:divsChild>
        <w:div w:id="27226421">
          <w:marLeft w:val="1166"/>
          <w:marRight w:val="0"/>
          <w:marTop w:val="67"/>
          <w:marBottom w:val="240"/>
          <w:divBdr>
            <w:top w:val="none" w:sz="0" w:space="0" w:color="auto"/>
            <w:left w:val="none" w:sz="0" w:space="0" w:color="auto"/>
            <w:bottom w:val="none" w:sz="0" w:space="0" w:color="auto"/>
            <w:right w:val="none" w:sz="0" w:space="0" w:color="auto"/>
          </w:divBdr>
        </w:div>
        <w:div w:id="211423503">
          <w:marLeft w:val="1166"/>
          <w:marRight w:val="0"/>
          <w:marTop w:val="67"/>
          <w:marBottom w:val="240"/>
          <w:divBdr>
            <w:top w:val="none" w:sz="0" w:space="0" w:color="auto"/>
            <w:left w:val="none" w:sz="0" w:space="0" w:color="auto"/>
            <w:bottom w:val="none" w:sz="0" w:space="0" w:color="auto"/>
            <w:right w:val="none" w:sz="0" w:space="0" w:color="auto"/>
          </w:divBdr>
        </w:div>
        <w:div w:id="424888151">
          <w:marLeft w:val="259"/>
          <w:marRight w:val="0"/>
          <w:marTop w:val="77"/>
          <w:marBottom w:val="240"/>
          <w:divBdr>
            <w:top w:val="none" w:sz="0" w:space="0" w:color="auto"/>
            <w:left w:val="none" w:sz="0" w:space="0" w:color="auto"/>
            <w:bottom w:val="none" w:sz="0" w:space="0" w:color="auto"/>
            <w:right w:val="none" w:sz="0" w:space="0" w:color="auto"/>
          </w:divBdr>
        </w:div>
        <w:div w:id="568538911">
          <w:marLeft w:val="1166"/>
          <w:marRight w:val="0"/>
          <w:marTop w:val="67"/>
          <w:marBottom w:val="240"/>
          <w:divBdr>
            <w:top w:val="none" w:sz="0" w:space="0" w:color="auto"/>
            <w:left w:val="none" w:sz="0" w:space="0" w:color="auto"/>
            <w:bottom w:val="none" w:sz="0" w:space="0" w:color="auto"/>
            <w:right w:val="none" w:sz="0" w:space="0" w:color="auto"/>
          </w:divBdr>
        </w:div>
        <w:div w:id="1359044937">
          <w:marLeft w:val="259"/>
          <w:marRight w:val="0"/>
          <w:marTop w:val="77"/>
          <w:marBottom w:val="240"/>
          <w:divBdr>
            <w:top w:val="none" w:sz="0" w:space="0" w:color="auto"/>
            <w:left w:val="none" w:sz="0" w:space="0" w:color="auto"/>
            <w:bottom w:val="none" w:sz="0" w:space="0" w:color="auto"/>
            <w:right w:val="none" w:sz="0" w:space="0" w:color="auto"/>
          </w:divBdr>
        </w:div>
        <w:div w:id="1852907839">
          <w:marLeft w:val="259"/>
          <w:marRight w:val="0"/>
          <w:marTop w:val="77"/>
          <w:marBottom w:val="240"/>
          <w:divBdr>
            <w:top w:val="none" w:sz="0" w:space="0" w:color="auto"/>
            <w:left w:val="none" w:sz="0" w:space="0" w:color="auto"/>
            <w:bottom w:val="none" w:sz="0" w:space="0" w:color="auto"/>
            <w:right w:val="none" w:sz="0" w:space="0" w:color="auto"/>
          </w:divBdr>
        </w:div>
      </w:divsChild>
    </w:div>
    <w:div w:id="1262254145">
      <w:bodyDiv w:val="1"/>
      <w:marLeft w:val="0"/>
      <w:marRight w:val="0"/>
      <w:marTop w:val="0"/>
      <w:marBottom w:val="0"/>
      <w:divBdr>
        <w:top w:val="none" w:sz="0" w:space="0" w:color="auto"/>
        <w:left w:val="none" w:sz="0" w:space="0" w:color="auto"/>
        <w:bottom w:val="none" w:sz="0" w:space="0" w:color="auto"/>
        <w:right w:val="none" w:sz="0" w:space="0" w:color="auto"/>
      </w:divBdr>
    </w:div>
    <w:div w:id="1269852527">
      <w:bodyDiv w:val="1"/>
      <w:marLeft w:val="0"/>
      <w:marRight w:val="0"/>
      <w:marTop w:val="0"/>
      <w:marBottom w:val="0"/>
      <w:divBdr>
        <w:top w:val="none" w:sz="0" w:space="0" w:color="auto"/>
        <w:left w:val="none" w:sz="0" w:space="0" w:color="auto"/>
        <w:bottom w:val="none" w:sz="0" w:space="0" w:color="auto"/>
        <w:right w:val="none" w:sz="0" w:space="0" w:color="auto"/>
      </w:divBdr>
      <w:divsChild>
        <w:div w:id="348526862">
          <w:marLeft w:val="0"/>
          <w:marRight w:val="0"/>
          <w:marTop w:val="0"/>
          <w:marBottom w:val="0"/>
          <w:divBdr>
            <w:top w:val="none" w:sz="0" w:space="0" w:color="auto"/>
            <w:left w:val="none" w:sz="0" w:space="0" w:color="auto"/>
            <w:bottom w:val="none" w:sz="0" w:space="0" w:color="auto"/>
            <w:right w:val="none" w:sz="0" w:space="0" w:color="auto"/>
          </w:divBdr>
          <w:divsChild>
            <w:div w:id="1162311065">
              <w:marLeft w:val="0"/>
              <w:marRight w:val="0"/>
              <w:marTop w:val="0"/>
              <w:marBottom w:val="0"/>
              <w:divBdr>
                <w:top w:val="none" w:sz="0" w:space="0" w:color="auto"/>
                <w:left w:val="none" w:sz="0" w:space="0" w:color="auto"/>
                <w:bottom w:val="none" w:sz="0" w:space="0" w:color="auto"/>
                <w:right w:val="none" w:sz="0" w:space="0" w:color="auto"/>
              </w:divBdr>
              <w:divsChild>
                <w:div w:id="362562913">
                  <w:marLeft w:val="0"/>
                  <w:marRight w:val="0"/>
                  <w:marTop w:val="0"/>
                  <w:marBottom w:val="0"/>
                  <w:divBdr>
                    <w:top w:val="none" w:sz="0" w:space="0" w:color="auto"/>
                    <w:left w:val="none" w:sz="0" w:space="0" w:color="auto"/>
                    <w:bottom w:val="none" w:sz="0" w:space="0" w:color="auto"/>
                    <w:right w:val="none" w:sz="0" w:space="0" w:color="auto"/>
                  </w:divBdr>
                  <w:divsChild>
                    <w:div w:id="1274947364">
                      <w:marLeft w:val="0"/>
                      <w:marRight w:val="0"/>
                      <w:marTop w:val="0"/>
                      <w:marBottom w:val="0"/>
                      <w:divBdr>
                        <w:top w:val="none" w:sz="0" w:space="0" w:color="auto"/>
                        <w:left w:val="none" w:sz="0" w:space="0" w:color="auto"/>
                        <w:bottom w:val="none" w:sz="0" w:space="0" w:color="auto"/>
                        <w:right w:val="none" w:sz="0" w:space="0" w:color="auto"/>
                      </w:divBdr>
                      <w:divsChild>
                        <w:div w:id="166828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1789796">
      <w:bodyDiv w:val="1"/>
      <w:marLeft w:val="0"/>
      <w:marRight w:val="0"/>
      <w:marTop w:val="0"/>
      <w:marBottom w:val="0"/>
      <w:divBdr>
        <w:top w:val="none" w:sz="0" w:space="0" w:color="auto"/>
        <w:left w:val="none" w:sz="0" w:space="0" w:color="auto"/>
        <w:bottom w:val="none" w:sz="0" w:space="0" w:color="auto"/>
        <w:right w:val="none" w:sz="0" w:space="0" w:color="auto"/>
      </w:divBdr>
    </w:div>
    <w:div w:id="1341545178">
      <w:bodyDiv w:val="1"/>
      <w:marLeft w:val="0"/>
      <w:marRight w:val="0"/>
      <w:marTop w:val="0"/>
      <w:marBottom w:val="0"/>
      <w:divBdr>
        <w:top w:val="none" w:sz="0" w:space="0" w:color="auto"/>
        <w:left w:val="none" w:sz="0" w:space="0" w:color="auto"/>
        <w:bottom w:val="none" w:sz="0" w:space="0" w:color="auto"/>
        <w:right w:val="none" w:sz="0" w:space="0" w:color="auto"/>
      </w:divBdr>
    </w:div>
    <w:div w:id="1404178204">
      <w:bodyDiv w:val="1"/>
      <w:marLeft w:val="0"/>
      <w:marRight w:val="0"/>
      <w:marTop w:val="0"/>
      <w:marBottom w:val="0"/>
      <w:divBdr>
        <w:top w:val="none" w:sz="0" w:space="0" w:color="auto"/>
        <w:left w:val="none" w:sz="0" w:space="0" w:color="auto"/>
        <w:bottom w:val="none" w:sz="0" w:space="0" w:color="auto"/>
        <w:right w:val="none" w:sz="0" w:space="0" w:color="auto"/>
      </w:divBdr>
      <w:divsChild>
        <w:div w:id="839152466">
          <w:marLeft w:val="259"/>
          <w:marRight w:val="0"/>
          <w:marTop w:val="77"/>
          <w:marBottom w:val="240"/>
          <w:divBdr>
            <w:top w:val="none" w:sz="0" w:space="0" w:color="auto"/>
            <w:left w:val="none" w:sz="0" w:space="0" w:color="auto"/>
            <w:bottom w:val="none" w:sz="0" w:space="0" w:color="auto"/>
            <w:right w:val="none" w:sz="0" w:space="0" w:color="auto"/>
          </w:divBdr>
        </w:div>
        <w:div w:id="916666381">
          <w:marLeft w:val="259"/>
          <w:marRight w:val="0"/>
          <w:marTop w:val="77"/>
          <w:marBottom w:val="240"/>
          <w:divBdr>
            <w:top w:val="none" w:sz="0" w:space="0" w:color="auto"/>
            <w:left w:val="none" w:sz="0" w:space="0" w:color="auto"/>
            <w:bottom w:val="none" w:sz="0" w:space="0" w:color="auto"/>
            <w:right w:val="none" w:sz="0" w:space="0" w:color="auto"/>
          </w:divBdr>
        </w:div>
      </w:divsChild>
    </w:div>
    <w:div w:id="1422485956">
      <w:bodyDiv w:val="1"/>
      <w:marLeft w:val="0"/>
      <w:marRight w:val="0"/>
      <w:marTop w:val="0"/>
      <w:marBottom w:val="0"/>
      <w:divBdr>
        <w:top w:val="none" w:sz="0" w:space="0" w:color="auto"/>
        <w:left w:val="none" w:sz="0" w:space="0" w:color="auto"/>
        <w:bottom w:val="none" w:sz="0" w:space="0" w:color="auto"/>
        <w:right w:val="none" w:sz="0" w:space="0" w:color="auto"/>
      </w:divBdr>
      <w:divsChild>
        <w:div w:id="224418413">
          <w:marLeft w:val="1166"/>
          <w:marRight w:val="0"/>
          <w:marTop w:val="67"/>
          <w:marBottom w:val="240"/>
          <w:divBdr>
            <w:top w:val="none" w:sz="0" w:space="0" w:color="auto"/>
            <w:left w:val="none" w:sz="0" w:space="0" w:color="auto"/>
            <w:bottom w:val="none" w:sz="0" w:space="0" w:color="auto"/>
            <w:right w:val="none" w:sz="0" w:space="0" w:color="auto"/>
          </w:divBdr>
        </w:div>
        <w:div w:id="364328041">
          <w:marLeft w:val="1166"/>
          <w:marRight w:val="0"/>
          <w:marTop w:val="67"/>
          <w:marBottom w:val="240"/>
          <w:divBdr>
            <w:top w:val="none" w:sz="0" w:space="0" w:color="auto"/>
            <w:left w:val="none" w:sz="0" w:space="0" w:color="auto"/>
            <w:bottom w:val="none" w:sz="0" w:space="0" w:color="auto"/>
            <w:right w:val="none" w:sz="0" w:space="0" w:color="auto"/>
          </w:divBdr>
        </w:div>
        <w:div w:id="549808856">
          <w:marLeft w:val="1166"/>
          <w:marRight w:val="0"/>
          <w:marTop w:val="67"/>
          <w:marBottom w:val="240"/>
          <w:divBdr>
            <w:top w:val="none" w:sz="0" w:space="0" w:color="auto"/>
            <w:left w:val="none" w:sz="0" w:space="0" w:color="auto"/>
            <w:bottom w:val="none" w:sz="0" w:space="0" w:color="auto"/>
            <w:right w:val="none" w:sz="0" w:space="0" w:color="auto"/>
          </w:divBdr>
        </w:div>
        <w:div w:id="1183277472">
          <w:marLeft w:val="1166"/>
          <w:marRight w:val="0"/>
          <w:marTop w:val="67"/>
          <w:marBottom w:val="240"/>
          <w:divBdr>
            <w:top w:val="none" w:sz="0" w:space="0" w:color="auto"/>
            <w:left w:val="none" w:sz="0" w:space="0" w:color="auto"/>
            <w:bottom w:val="none" w:sz="0" w:space="0" w:color="auto"/>
            <w:right w:val="none" w:sz="0" w:space="0" w:color="auto"/>
          </w:divBdr>
        </w:div>
        <w:div w:id="1208759113">
          <w:marLeft w:val="259"/>
          <w:marRight w:val="0"/>
          <w:marTop w:val="77"/>
          <w:marBottom w:val="240"/>
          <w:divBdr>
            <w:top w:val="none" w:sz="0" w:space="0" w:color="auto"/>
            <w:left w:val="none" w:sz="0" w:space="0" w:color="auto"/>
            <w:bottom w:val="none" w:sz="0" w:space="0" w:color="auto"/>
            <w:right w:val="none" w:sz="0" w:space="0" w:color="auto"/>
          </w:divBdr>
        </w:div>
        <w:div w:id="1826975222">
          <w:marLeft w:val="259"/>
          <w:marRight w:val="0"/>
          <w:marTop w:val="77"/>
          <w:marBottom w:val="240"/>
          <w:divBdr>
            <w:top w:val="none" w:sz="0" w:space="0" w:color="auto"/>
            <w:left w:val="none" w:sz="0" w:space="0" w:color="auto"/>
            <w:bottom w:val="none" w:sz="0" w:space="0" w:color="auto"/>
            <w:right w:val="none" w:sz="0" w:space="0" w:color="auto"/>
          </w:divBdr>
        </w:div>
        <w:div w:id="1858930257">
          <w:marLeft w:val="1166"/>
          <w:marRight w:val="0"/>
          <w:marTop w:val="67"/>
          <w:marBottom w:val="240"/>
          <w:divBdr>
            <w:top w:val="none" w:sz="0" w:space="0" w:color="auto"/>
            <w:left w:val="none" w:sz="0" w:space="0" w:color="auto"/>
            <w:bottom w:val="none" w:sz="0" w:space="0" w:color="auto"/>
            <w:right w:val="none" w:sz="0" w:space="0" w:color="auto"/>
          </w:divBdr>
        </w:div>
      </w:divsChild>
    </w:div>
    <w:div w:id="1435781720">
      <w:bodyDiv w:val="1"/>
      <w:marLeft w:val="0"/>
      <w:marRight w:val="0"/>
      <w:marTop w:val="0"/>
      <w:marBottom w:val="0"/>
      <w:divBdr>
        <w:top w:val="none" w:sz="0" w:space="0" w:color="auto"/>
        <w:left w:val="none" w:sz="0" w:space="0" w:color="auto"/>
        <w:bottom w:val="none" w:sz="0" w:space="0" w:color="auto"/>
        <w:right w:val="none" w:sz="0" w:space="0" w:color="auto"/>
      </w:divBdr>
    </w:div>
    <w:div w:id="1474177536">
      <w:bodyDiv w:val="1"/>
      <w:marLeft w:val="0"/>
      <w:marRight w:val="0"/>
      <w:marTop w:val="0"/>
      <w:marBottom w:val="0"/>
      <w:divBdr>
        <w:top w:val="none" w:sz="0" w:space="0" w:color="auto"/>
        <w:left w:val="none" w:sz="0" w:space="0" w:color="auto"/>
        <w:bottom w:val="none" w:sz="0" w:space="0" w:color="auto"/>
        <w:right w:val="none" w:sz="0" w:space="0" w:color="auto"/>
      </w:divBdr>
    </w:div>
    <w:div w:id="1489251334">
      <w:bodyDiv w:val="1"/>
      <w:marLeft w:val="0"/>
      <w:marRight w:val="0"/>
      <w:marTop w:val="0"/>
      <w:marBottom w:val="0"/>
      <w:divBdr>
        <w:top w:val="none" w:sz="0" w:space="0" w:color="auto"/>
        <w:left w:val="none" w:sz="0" w:space="0" w:color="auto"/>
        <w:bottom w:val="none" w:sz="0" w:space="0" w:color="auto"/>
        <w:right w:val="none" w:sz="0" w:space="0" w:color="auto"/>
      </w:divBdr>
    </w:div>
    <w:div w:id="1492258102">
      <w:bodyDiv w:val="1"/>
      <w:marLeft w:val="0"/>
      <w:marRight w:val="0"/>
      <w:marTop w:val="0"/>
      <w:marBottom w:val="0"/>
      <w:divBdr>
        <w:top w:val="none" w:sz="0" w:space="0" w:color="auto"/>
        <w:left w:val="none" w:sz="0" w:space="0" w:color="auto"/>
        <w:bottom w:val="none" w:sz="0" w:space="0" w:color="auto"/>
        <w:right w:val="none" w:sz="0" w:space="0" w:color="auto"/>
      </w:divBdr>
      <w:divsChild>
        <w:div w:id="303048309">
          <w:marLeft w:val="259"/>
          <w:marRight w:val="0"/>
          <w:marTop w:val="77"/>
          <w:marBottom w:val="240"/>
          <w:divBdr>
            <w:top w:val="none" w:sz="0" w:space="0" w:color="auto"/>
            <w:left w:val="none" w:sz="0" w:space="0" w:color="auto"/>
            <w:bottom w:val="none" w:sz="0" w:space="0" w:color="auto"/>
            <w:right w:val="none" w:sz="0" w:space="0" w:color="auto"/>
          </w:divBdr>
        </w:div>
      </w:divsChild>
    </w:div>
    <w:div w:id="1542596355">
      <w:bodyDiv w:val="1"/>
      <w:marLeft w:val="0"/>
      <w:marRight w:val="0"/>
      <w:marTop w:val="0"/>
      <w:marBottom w:val="0"/>
      <w:divBdr>
        <w:top w:val="none" w:sz="0" w:space="0" w:color="auto"/>
        <w:left w:val="none" w:sz="0" w:space="0" w:color="auto"/>
        <w:bottom w:val="none" w:sz="0" w:space="0" w:color="auto"/>
        <w:right w:val="none" w:sz="0" w:space="0" w:color="auto"/>
      </w:divBdr>
    </w:div>
    <w:div w:id="1606233051">
      <w:bodyDiv w:val="1"/>
      <w:marLeft w:val="0"/>
      <w:marRight w:val="0"/>
      <w:marTop w:val="0"/>
      <w:marBottom w:val="0"/>
      <w:divBdr>
        <w:top w:val="none" w:sz="0" w:space="0" w:color="auto"/>
        <w:left w:val="none" w:sz="0" w:space="0" w:color="auto"/>
        <w:bottom w:val="none" w:sz="0" w:space="0" w:color="auto"/>
        <w:right w:val="none" w:sz="0" w:space="0" w:color="auto"/>
      </w:divBdr>
    </w:div>
    <w:div w:id="1724056466">
      <w:bodyDiv w:val="1"/>
      <w:marLeft w:val="0"/>
      <w:marRight w:val="0"/>
      <w:marTop w:val="0"/>
      <w:marBottom w:val="0"/>
      <w:divBdr>
        <w:top w:val="none" w:sz="0" w:space="0" w:color="auto"/>
        <w:left w:val="none" w:sz="0" w:space="0" w:color="auto"/>
        <w:bottom w:val="none" w:sz="0" w:space="0" w:color="auto"/>
        <w:right w:val="none" w:sz="0" w:space="0" w:color="auto"/>
      </w:divBdr>
      <w:divsChild>
        <w:div w:id="714236345">
          <w:marLeft w:val="259"/>
          <w:marRight w:val="0"/>
          <w:marTop w:val="77"/>
          <w:marBottom w:val="240"/>
          <w:divBdr>
            <w:top w:val="none" w:sz="0" w:space="0" w:color="auto"/>
            <w:left w:val="none" w:sz="0" w:space="0" w:color="auto"/>
            <w:bottom w:val="none" w:sz="0" w:space="0" w:color="auto"/>
            <w:right w:val="none" w:sz="0" w:space="0" w:color="auto"/>
          </w:divBdr>
        </w:div>
        <w:div w:id="785929305">
          <w:marLeft w:val="259"/>
          <w:marRight w:val="0"/>
          <w:marTop w:val="77"/>
          <w:marBottom w:val="240"/>
          <w:divBdr>
            <w:top w:val="none" w:sz="0" w:space="0" w:color="auto"/>
            <w:left w:val="none" w:sz="0" w:space="0" w:color="auto"/>
            <w:bottom w:val="none" w:sz="0" w:space="0" w:color="auto"/>
            <w:right w:val="none" w:sz="0" w:space="0" w:color="auto"/>
          </w:divBdr>
        </w:div>
        <w:div w:id="1233857555">
          <w:marLeft w:val="259"/>
          <w:marRight w:val="0"/>
          <w:marTop w:val="77"/>
          <w:marBottom w:val="240"/>
          <w:divBdr>
            <w:top w:val="none" w:sz="0" w:space="0" w:color="auto"/>
            <w:left w:val="none" w:sz="0" w:space="0" w:color="auto"/>
            <w:bottom w:val="none" w:sz="0" w:space="0" w:color="auto"/>
            <w:right w:val="none" w:sz="0" w:space="0" w:color="auto"/>
          </w:divBdr>
        </w:div>
      </w:divsChild>
    </w:div>
    <w:div w:id="1764373487">
      <w:bodyDiv w:val="1"/>
      <w:marLeft w:val="0"/>
      <w:marRight w:val="0"/>
      <w:marTop w:val="0"/>
      <w:marBottom w:val="0"/>
      <w:divBdr>
        <w:top w:val="none" w:sz="0" w:space="0" w:color="auto"/>
        <w:left w:val="none" w:sz="0" w:space="0" w:color="auto"/>
        <w:bottom w:val="none" w:sz="0" w:space="0" w:color="auto"/>
        <w:right w:val="none" w:sz="0" w:space="0" w:color="auto"/>
      </w:divBdr>
      <w:divsChild>
        <w:div w:id="299919508">
          <w:marLeft w:val="259"/>
          <w:marRight w:val="0"/>
          <w:marTop w:val="77"/>
          <w:marBottom w:val="240"/>
          <w:divBdr>
            <w:top w:val="none" w:sz="0" w:space="0" w:color="auto"/>
            <w:left w:val="none" w:sz="0" w:space="0" w:color="auto"/>
            <w:bottom w:val="none" w:sz="0" w:space="0" w:color="auto"/>
            <w:right w:val="none" w:sz="0" w:space="0" w:color="auto"/>
          </w:divBdr>
        </w:div>
        <w:div w:id="1896626640">
          <w:marLeft w:val="259"/>
          <w:marRight w:val="0"/>
          <w:marTop w:val="77"/>
          <w:marBottom w:val="240"/>
          <w:divBdr>
            <w:top w:val="none" w:sz="0" w:space="0" w:color="auto"/>
            <w:left w:val="none" w:sz="0" w:space="0" w:color="auto"/>
            <w:bottom w:val="none" w:sz="0" w:space="0" w:color="auto"/>
            <w:right w:val="none" w:sz="0" w:space="0" w:color="auto"/>
          </w:divBdr>
        </w:div>
      </w:divsChild>
    </w:div>
    <w:div w:id="1806584554">
      <w:bodyDiv w:val="1"/>
      <w:marLeft w:val="0"/>
      <w:marRight w:val="0"/>
      <w:marTop w:val="0"/>
      <w:marBottom w:val="0"/>
      <w:divBdr>
        <w:top w:val="none" w:sz="0" w:space="0" w:color="auto"/>
        <w:left w:val="none" w:sz="0" w:space="0" w:color="auto"/>
        <w:bottom w:val="none" w:sz="0" w:space="0" w:color="auto"/>
        <w:right w:val="none" w:sz="0" w:space="0" w:color="auto"/>
      </w:divBdr>
    </w:div>
    <w:div w:id="1807044327">
      <w:bodyDiv w:val="1"/>
      <w:marLeft w:val="0"/>
      <w:marRight w:val="0"/>
      <w:marTop w:val="0"/>
      <w:marBottom w:val="0"/>
      <w:divBdr>
        <w:top w:val="none" w:sz="0" w:space="0" w:color="auto"/>
        <w:left w:val="none" w:sz="0" w:space="0" w:color="auto"/>
        <w:bottom w:val="none" w:sz="0" w:space="0" w:color="auto"/>
        <w:right w:val="none" w:sz="0" w:space="0" w:color="auto"/>
      </w:divBdr>
    </w:div>
    <w:div w:id="1815831014">
      <w:bodyDiv w:val="1"/>
      <w:marLeft w:val="0"/>
      <w:marRight w:val="0"/>
      <w:marTop w:val="0"/>
      <w:marBottom w:val="0"/>
      <w:divBdr>
        <w:top w:val="none" w:sz="0" w:space="0" w:color="auto"/>
        <w:left w:val="none" w:sz="0" w:space="0" w:color="auto"/>
        <w:bottom w:val="none" w:sz="0" w:space="0" w:color="auto"/>
        <w:right w:val="none" w:sz="0" w:space="0" w:color="auto"/>
      </w:divBdr>
      <w:divsChild>
        <w:div w:id="787161936">
          <w:marLeft w:val="259"/>
          <w:marRight w:val="0"/>
          <w:marTop w:val="77"/>
          <w:marBottom w:val="240"/>
          <w:divBdr>
            <w:top w:val="none" w:sz="0" w:space="0" w:color="auto"/>
            <w:left w:val="none" w:sz="0" w:space="0" w:color="auto"/>
            <w:bottom w:val="none" w:sz="0" w:space="0" w:color="auto"/>
            <w:right w:val="none" w:sz="0" w:space="0" w:color="auto"/>
          </w:divBdr>
        </w:div>
        <w:div w:id="1775049346">
          <w:marLeft w:val="259"/>
          <w:marRight w:val="0"/>
          <w:marTop w:val="77"/>
          <w:marBottom w:val="240"/>
          <w:divBdr>
            <w:top w:val="none" w:sz="0" w:space="0" w:color="auto"/>
            <w:left w:val="none" w:sz="0" w:space="0" w:color="auto"/>
            <w:bottom w:val="none" w:sz="0" w:space="0" w:color="auto"/>
            <w:right w:val="none" w:sz="0" w:space="0" w:color="auto"/>
          </w:divBdr>
        </w:div>
      </w:divsChild>
    </w:div>
    <w:div w:id="1832523412">
      <w:bodyDiv w:val="1"/>
      <w:marLeft w:val="0"/>
      <w:marRight w:val="0"/>
      <w:marTop w:val="0"/>
      <w:marBottom w:val="0"/>
      <w:divBdr>
        <w:top w:val="none" w:sz="0" w:space="0" w:color="auto"/>
        <w:left w:val="none" w:sz="0" w:space="0" w:color="auto"/>
        <w:bottom w:val="none" w:sz="0" w:space="0" w:color="auto"/>
        <w:right w:val="none" w:sz="0" w:space="0" w:color="auto"/>
      </w:divBdr>
    </w:div>
    <w:div w:id="1859781242">
      <w:bodyDiv w:val="1"/>
      <w:marLeft w:val="0"/>
      <w:marRight w:val="0"/>
      <w:marTop w:val="0"/>
      <w:marBottom w:val="0"/>
      <w:divBdr>
        <w:top w:val="none" w:sz="0" w:space="0" w:color="auto"/>
        <w:left w:val="none" w:sz="0" w:space="0" w:color="auto"/>
        <w:bottom w:val="none" w:sz="0" w:space="0" w:color="auto"/>
        <w:right w:val="none" w:sz="0" w:space="0" w:color="auto"/>
      </w:divBdr>
      <w:divsChild>
        <w:div w:id="611667763">
          <w:marLeft w:val="259"/>
          <w:marRight w:val="0"/>
          <w:marTop w:val="77"/>
          <w:marBottom w:val="240"/>
          <w:divBdr>
            <w:top w:val="none" w:sz="0" w:space="0" w:color="auto"/>
            <w:left w:val="none" w:sz="0" w:space="0" w:color="auto"/>
            <w:bottom w:val="none" w:sz="0" w:space="0" w:color="auto"/>
            <w:right w:val="none" w:sz="0" w:space="0" w:color="auto"/>
          </w:divBdr>
        </w:div>
      </w:divsChild>
    </w:div>
    <w:div w:id="1924292276">
      <w:bodyDiv w:val="1"/>
      <w:marLeft w:val="0"/>
      <w:marRight w:val="0"/>
      <w:marTop w:val="0"/>
      <w:marBottom w:val="0"/>
      <w:divBdr>
        <w:top w:val="none" w:sz="0" w:space="0" w:color="auto"/>
        <w:left w:val="none" w:sz="0" w:space="0" w:color="auto"/>
        <w:bottom w:val="none" w:sz="0" w:space="0" w:color="auto"/>
        <w:right w:val="none" w:sz="0" w:space="0" w:color="auto"/>
      </w:divBdr>
      <w:divsChild>
        <w:div w:id="602961377">
          <w:marLeft w:val="547"/>
          <w:marRight w:val="0"/>
          <w:marTop w:val="0"/>
          <w:marBottom w:val="0"/>
          <w:divBdr>
            <w:top w:val="none" w:sz="0" w:space="0" w:color="auto"/>
            <w:left w:val="none" w:sz="0" w:space="0" w:color="auto"/>
            <w:bottom w:val="none" w:sz="0" w:space="0" w:color="auto"/>
            <w:right w:val="none" w:sz="0" w:space="0" w:color="auto"/>
          </w:divBdr>
        </w:div>
        <w:div w:id="777984941">
          <w:marLeft w:val="547"/>
          <w:marRight w:val="0"/>
          <w:marTop w:val="0"/>
          <w:marBottom w:val="0"/>
          <w:divBdr>
            <w:top w:val="none" w:sz="0" w:space="0" w:color="auto"/>
            <w:left w:val="none" w:sz="0" w:space="0" w:color="auto"/>
            <w:bottom w:val="none" w:sz="0" w:space="0" w:color="auto"/>
            <w:right w:val="none" w:sz="0" w:space="0" w:color="auto"/>
          </w:divBdr>
        </w:div>
      </w:divsChild>
    </w:div>
    <w:div w:id="1974435418">
      <w:bodyDiv w:val="1"/>
      <w:marLeft w:val="0"/>
      <w:marRight w:val="0"/>
      <w:marTop w:val="0"/>
      <w:marBottom w:val="0"/>
      <w:divBdr>
        <w:top w:val="none" w:sz="0" w:space="0" w:color="auto"/>
        <w:left w:val="none" w:sz="0" w:space="0" w:color="auto"/>
        <w:bottom w:val="none" w:sz="0" w:space="0" w:color="auto"/>
        <w:right w:val="none" w:sz="0" w:space="0" w:color="auto"/>
      </w:divBdr>
    </w:div>
    <w:div w:id="1993946433">
      <w:bodyDiv w:val="1"/>
      <w:marLeft w:val="0"/>
      <w:marRight w:val="0"/>
      <w:marTop w:val="0"/>
      <w:marBottom w:val="0"/>
      <w:divBdr>
        <w:top w:val="none" w:sz="0" w:space="0" w:color="auto"/>
        <w:left w:val="none" w:sz="0" w:space="0" w:color="auto"/>
        <w:bottom w:val="none" w:sz="0" w:space="0" w:color="auto"/>
        <w:right w:val="none" w:sz="0" w:space="0" w:color="auto"/>
      </w:divBdr>
    </w:div>
    <w:div w:id="2069719704">
      <w:bodyDiv w:val="1"/>
      <w:marLeft w:val="0"/>
      <w:marRight w:val="0"/>
      <w:marTop w:val="0"/>
      <w:marBottom w:val="0"/>
      <w:divBdr>
        <w:top w:val="none" w:sz="0" w:space="0" w:color="auto"/>
        <w:left w:val="none" w:sz="0" w:space="0" w:color="auto"/>
        <w:bottom w:val="none" w:sz="0" w:space="0" w:color="auto"/>
        <w:right w:val="none" w:sz="0" w:space="0" w:color="auto"/>
      </w:divBdr>
      <w:divsChild>
        <w:div w:id="193035378">
          <w:marLeft w:val="259"/>
          <w:marRight w:val="0"/>
          <w:marTop w:val="77"/>
          <w:marBottom w:val="240"/>
          <w:divBdr>
            <w:top w:val="none" w:sz="0" w:space="0" w:color="auto"/>
            <w:left w:val="none" w:sz="0" w:space="0" w:color="auto"/>
            <w:bottom w:val="none" w:sz="0" w:space="0" w:color="auto"/>
            <w:right w:val="none" w:sz="0" w:space="0" w:color="auto"/>
          </w:divBdr>
        </w:div>
        <w:div w:id="444085963">
          <w:marLeft w:val="259"/>
          <w:marRight w:val="0"/>
          <w:marTop w:val="77"/>
          <w:marBottom w:val="240"/>
          <w:divBdr>
            <w:top w:val="none" w:sz="0" w:space="0" w:color="auto"/>
            <w:left w:val="none" w:sz="0" w:space="0" w:color="auto"/>
            <w:bottom w:val="none" w:sz="0" w:space="0" w:color="auto"/>
            <w:right w:val="none" w:sz="0" w:space="0" w:color="auto"/>
          </w:divBdr>
        </w:div>
        <w:div w:id="1350763827">
          <w:marLeft w:val="259"/>
          <w:marRight w:val="0"/>
          <w:marTop w:val="77"/>
          <w:marBottom w:val="240"/>
          <w:divBdr>
            <w:top w:val="none" w:sz="0" w:space="0" w:color="auto"/>
            <w:left w:val="none" w:sz="0" w:space="0" w:color="auto"/>
            <w:bottom w:val="none" w:sz="0" w:space="0" w:color="auto"/>
            <w:right w:val="none" w:sz="0" w:space="0" w:color="auto"/>
          </w:divBdr>
        </w:div>
        <w:div w:id="1425414486">
          <w:marLeft w:val="259"/>
          <w:marRight w:val="0"/>
          <w:marTop w:val="77"/>
          <w:marBottom w:val="240"/>
          <w:divBdr>
            <w:top w:val="none" w:sz="0" w:space="0" w:color="auto"/>
            <w:left w:val="none" w:sz="0" w:space="0" w:color="auto"/>
            <w:bottom w:val="none" w:sz="0" w:space="0" w:color="auto"/>
            <w:right w:val="none" w:sz="0" w:space="0" w:color="auto"/>
          </w:divBdr>
        </w:div>
        <w:div w:id="1843736627">
          <w:marLeft w:val="259"/>
          <w:marRight w:val="0"/>
          <w:marTop w:val="77"/>
          <w:marBottom w:val="240"/>
          <w:divBdr>
            <w:top w:val="none" w:sz="0" w:space="0" w:color="auto"/>
            <w:left w:val="none" w:sz="0" w:space="0" w:color="auto"/>
            <w:bottom w:val="none" w:sz="0" w:space="0" w:color="auto"/>
            <w:right w:val="none" w:sz="0" w:space="0" w:color="auto"/>
          </w:divBdr>
        </w:div>
      </w:divsChild>
    </w:div>
    <w:div w:id="2088454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image" Target="media/image5.emf"/><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sdge.com/rates-and-regulations/regulatory-filing/914/energy-efficiency-filings" TargetMode="External"/><Relationship Id="rId17" Type="http://schemas.openxmlformats.org/officeDocument/2006/relationships/image" Target="cid:image001.png@01D546F3.7A2BB660"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yperlink" Target="mailto:mcaulson@semprautilities.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cid:image001.png@01D546F3.B6692900" TargetMode="External"/><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image" Target="media/image6.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sdge.com/documents/consolidated-iou-solicitation-timeline" TargetMode="External"/><Relationship Id="rId1" Type="http://schemas.openxmlformats.org/officeDocument/2006/relationships/hyperlink" Target="https://cedars.sound-dat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0522BF51919F14F84F3F1C9680DD17D" ma:contentTypeVersion="8" ma:contentTypeDescription="Create a new document." ma:contentTypeScope="" ma:versionID="c5289ebc4f4be54151dc7d84e932af3a">
  <xsd:schema xmlns:xsd="http://www.w3.org/2001/XMLSchema" xmlns:xs="http://www.w3.org/2001/XMLSchema" xmlns:p="http://schemas.microsoft.com/office/2006/metadata/properties" xmlns:ns3="b6dfc9e5-59d7-4089-932f-2b4d1c9549c0" targetNamespace="http://schemas.microsoft.com/office/2006/metadata/properties" ma:root="true" ma:fieldsID="9f866c71b41d7514cf46dcc370c6935f" ns3:_="">
    <xsd:import namespace="b6dfc9e5-59d7-4089-932f-2b4d1c9549c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dfc9e5-59d7-4089-932f-2b4d1c9549c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3513AD-0E45-4EF2-8F60-48BE2936F5A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08D558E-B6DB-44AB-B840-6FE647F6BB59}">
  <ds:schemaRefs>
    <ds:schemaRef ds:uri="http://schemas.microsoft.com/sharepoint/v3/contenttype/forms"/>
  </ds:schemaRefs>
</ds:datastoreItem>
</file>

<file path=customXml/itemProps3.xml><?xml version="1.0" encoding="utf-8"?>
<ds:datastoreItem xmlns:ds="http://schemas.openxmlformats.org/officeDocument/2006/customXml" ds:itemID="{708A1CBD-F4B0-45D6-8F31-B594730052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dfc9e5-59d7-4089-932f-2b4d1c9549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40CFF73-3266-584E-B87A-676E3E41F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3418</Words>
  <Characters>19486</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January 6, 1997 				    PUC 120</vt:lpstr>
    </vt:vector>
  </TitlesOfParts>
  <Company>Sempra</Company>
  <LinksUpToDate>false</LinksUpToDate>
  <CharactersWithSpaces>22859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6, 1997 				    PUC 120</dc:title>
  <dc:subject/>
  <dc:creator>Wiggins, Monica</dc:creator>
  <cp:keywords/>
  <cp:lastModifiedBy>Susan Rivo</cp:lastModifiedBy>
  <cp:revision>2</cp:revision>
  <cp:lastPrinted>2018-09-04T22:07:00Z</cp:lastPrinted>
  <dcterms:created xsi:type="dcterms:W3CDTF">2019-08-01T01:50:00Z</dcterms:created>
  <dcterms:modified xsi:type="dcterms:W3CDTF">2019-08-01T01:50:00Z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0x01010000522BF51919F14F84F3F1C9680DD17D</vt:lpwstr>
  </property>
</Properties>
</file>