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58CFCA" w14:textId="1485E5F1" w:rsidR="004E3FE0" w:rsidRPr="00EA3B10" w:rsidRDefault="00B1569B">
      <w:pPr>
        <w:pStyle w:val="BodyText"/>
        <w:spacing w:before="6" w:after="1"/>
        <w:ind w:left="0"/>
        <w:rPr>
          <w:rFonts w:asciiTheme="minorHAnsi" w:hAnsiTheme="minorHAnsi"/>
          <w:b/>
          <w:bCs/>
          <w:sz w:val="28"/>
        </w:rPr>
      </w:pPr>
      <w:r w:rsidRPr="00EA3B10">
        <w:rPr>
          <w:rFonts w:asciiTheme="minorHAnsi" w:hAnsiTheme="minorHAnsi"/>
          <w:b/>
          <w:bCs/>
          <w:sz w:val="28"/>
        </w:rPr>
        <w:t xml:space="preserve">MCE: </w:t>
      </w:r>
      <w:r w:rsidR="00983B3A">
        <w:rPr>
          <w:rFonts w:asciiTheme="minorHAnsi" w:hAnsiTheme="minorHAnsi"/>
          <w:b/>
          <w:bCs/>
          <w:sz w:val="28"/>
        </w:rPr>
        <w:t xml:space="preserve">DRAFT </w:t>
      </w:r>
      <w:r w:rsidRPr="00EA3B10">
        <w:rPr>
          <w:rFonts w:asciiTheme="minorHAnsi" w:hAnsiTheme="minorHAnsi"/>
          <w:b/>
          <w:bCs/>
          <w:sz w:val="28"/>
        </w:rPr>
        <w:t>Commercial Efficiency Marketplace Program Manual</w:t>
      </w:r>
    </w:p>
    <w:p w14:paraId="2D544009" w14:textId="1429670C" w:rsidR="00B1569B" w:rsidRPr="00EA3B10" w:rsidRDefault="00B1569B">
      <w:pPr>
        <w:pStyle w:val="BodyText"/>
        <w:spacing w:before="6" w:after="1"/>
        <w:ind w:left="0"/>
        <w:rPr>
          <w:rFonts w:asciiTheme="minorHAnsi" w:hAnsiTheme="minorHAnsi"/>
          <w:b/>
          <w:bCs/>
          <w:sz w:val="28"/>
        </w:rPr>
      </w:pPr>
    </w:p>
    <w:p w14:paraId="1362FFAB" w14:textId="2967F3C8" w:rsidR="00B1569B" w:rsidRPr="00EA3B10" w:rsidRDefault="00B1569B">
      <w:pPr>
        <w:pStyle w:val="BodyText"/>
        <w:spacing w:before="6" w:after="1"/>
        <w:ind w:left="0"/>
        <w:rPr>
          <w:rFonts w:asciiTheme="minorHAnsi" w:hAnsiTheme="minorHAnsi"/>
          <w:b/>
          <w:bCs/>
        </w:rPr>
      </w:pPr>
      <w:r w:rsidRPr="00EA3B10">
        <w:rPr>
          <w:rFonts w:asciiTheme="minorHAnsi" w:hAnsiTheme="minorHAnsi"/>
          <w:b/>
          <w:bCs/>
        </w:rPr>
        <w:t>How the Demand Flex Market Works</w:t>
      </w:r>
    </w:p>
    <w:p w14:paraId="525CC13C" w14:textId="2B769036" w:rsidR="00B1569B" w:rsidRPr="00EA3B10" w:rsidRDefault="00B1569B" w:rsidP="00B1569B">
      <w:pPr>
        <w:widowControl/>
        <w:adjustRightInd w:val="0"/>
        <w:spacing w:after="120"/>
        <w:rPr>
          <w:rFonts w:asciiTheme="minorHAnsi" w:eastAsiaTheme="minorHAnsi" w:hAnsiTheme="minorHAnsi" w:cs="Times New Roman"/>
          <w:color w:val="0F1010"/>
        </w:rPr>
      </w:pPr>
      <w:r w:rsidRPr="00EA3B10">
        <w:rPr>
          <w:rFonts w:asciiTheme="minorHAnsi" w:eastAsiaTheme="minorHAnsi" w:hAnsiTheme="minorHAnsi" w:cs="Times New Roman"/>
          <w:color w:val="0F1010"/>
        </w:rPr>
        <w:t>Each aggregator enters into a Flexibility Purchase Agreement (FPA) that pays aggregators for all cost-effective value delivered at the meter on performance at the end of the first project year.</w:t>
      </w:r>
    </w:p>
    <w:p w14:paraId="558DF488" w14:textId="220D0389" w:rsidR="00B1569B" w:rsidRPr="00EA3B10" w:rsidRDefault="00B1569B" w:rsidP="00B1569B">
      <w:pPr>
        <w:widowControl/>
        <w:adjustRightInd w:val="0"/>
        <w:spacing w:after="120"/>
        <w:rPr>
          <w:rFonts w:asciiTheme="minorHAnsi" w:eastAsiaTheme="minorHAnsi" w:hAnsiTheme="minorHAnsi" w:cs="Times New Roman"/>
          <w:color w:val="0F1010"/>
        </w:rPr>
      </w:pPr>
      <w:r w:rsidRPr="00EA3B10">
        <w:rPr>
          <w:rFonts w:asciiTheme="minorHAnsi" w:eastAsiaTheme="minorHAnsi" w:hAnsiTheme="minorHAnsi" w:cs="Times New Roman"/>
          <w:color w:val="0F1010"/>
        </w:rPr>
        <w:t>The Flex Payment is calculated to provide the maximum market benefits, that are by definition cost-effective per the CPUC Total Resource Cost Test.</w:t>
      </w:r>
    </w:p>
    <w:p w14:paraId="7FF026AB" w14:textId="1467A32E" w:rsidR="00B1569B" w:rsidRPr="00EA3B10" w:rsidRDefault="00B1569B" w:rsidP="00B1569B">
      <w:pPr>
        <w:widowControl/>
        <w:adjustRightInd w:val="0"/>
        <w:spacing w:after="120"/>
        <w:rPr>
          <w:rFonts w:asciiTheme="minorHAnsi" w:eastAsiaTheme="minorHAnsi" w:hAnsiTheme="minorHAnsi" w:cs="Times New Roman"/>
          <w:color w:val="0F1010"/>
        </w:rPr>
      </w:pPr>
      <w:r w:rsidRPr="00EA3B10">
        <w:rPr>
          <w:rFonts w:asciiTheme="minorHAnsi" w:eastAsiaTheme="minorHAnsi" w:hAnsiTheme="minorHAnsi" w:cs="Times New Roman"/>
          <w:color w:val="0F1010"/>
        </w:rPr>
        <w:t>The Flex Payment is the difference between the avoided cost value of the project, which is the actual measured hourly resource curve (aka savings load shape) multiplied by the avoided cost value for each hour, minus the total project cost (customer energy-related spend+ admin). The avoided cost value is calculated taking into account the effective useful life (EUL) of the primary measure as defined by the CPUC, to represent the lifecycle value of the project.</w:t>
      </w:r>
    </w:p>
    <w:p w14:paraId="4D4C6869" w14:textId="7FFF5007" w:rsidR="00B1569B" w:rsidRPr="00EA3B10" w:rsidRDefault="00B1569B" w:rsidP="00B1569B">
      <w:pPr>
        <w:widowControl/>
        <w:adjustRightInd w:val="0"/>
        <w:spacing w:after="120"/>
        <w:rPr>
          <w:rFonts w:asciiTheme="minorHAnsi" w:eastAsiaTheme="minorHAnsi" w:hAnsiTheme="minorHAnsi" w:cs="Times New Roman"/>
          <w:color w:val="0F1010"/>
        </w:rPr>
      </w:pPr>
      <w:r w:rsidRPr="00EA3B10">
        <w:rPr>
          <w:rFonts w:asciiTheme="minorHAnsi" w:eastAsiaTheme="minorHAnsi" w:hAnsiTheme="minorHAnsi" w:cs="Times New Roman"/>
          <w:color w:val="0F1010"/>
        </w:rPr>
        <w:t>An Aggregator's Flex Payment is paid-on-performance at the end of the first 12-months of project operation. This payment represents the maximum available incentive that delivers a project that is definitionally cost-effective per the Total Resource Cost Test.</w:t>
      </w:r>
    </w:p>
    <w:p w14:paraId="62AF52C8" w14:textId="6C97B996" w:rsidR="00B1569B" w:rsidRPr="00EA3B10" w:rsidRDefault="00B1569B" w:rsidP="00B1569B">
      <w:pPr>
        <w:widowControl/>
        <w:adjustRightInd w:val="0"/>
        <w:spacing w:after="120"/>
        <w:rPr>
          <w:rFonts w:asciiTheme="minorHAnsi" w:eastAsiaTheme="minorHAnsi" w:hAnsiTheme="minorHAnsi" w:cs="Times New Roman"/>
          <w:color w:val="0F1010"/>
        </w:rPr>
      </w:pPr>
      <w:r w:rsidRPr="00EA3B10">
        <w:rPr>
          <w:rFonts w:asciiTheme="minorHAnsi" w:eastAsiaTheme="minorHAnsi" w:hAnsiTheme="minorHAnsi" w:cs="Times New Roman"/>
          <w:color w:val="0F1010"/>
        </w:rPr>
        <w:t>Aggregators can increase their projects' value by both increasing savings volume and by delivering load shape impacts that are more valuable than the CPUC's deemed average resource curve (savings load shape).</w:t>
      </w:r>
    </w:p>
    <w:p w14:paraId="6E702148" w14:textId="2E5B5DA7" w:rsidR="00B1569B" w:rsidRPr="00EA3B10" w:rsidRDefault="00B1569B" w:rsidP="00B1569B">
      <w:pPr>
        <w:widowControl/>
        <w:adjustRightInd w:val="0"/>
        <w:spacing w:after="120"/>
        <w:rPr>
          <w:rFonts w:asciiTheme="minorHAnsi" w:eastAsiaTheme="minorHAnsi" w:hAnsiTheme="minorHAnsi" w:cs="Times New Roman"/>
          <w:color w:val="0F1010"/>
        </w:rPr>
      </w:pPr>
      <w:r w:rsidRPr="00EA3B10">
        <w:rPr>
          <w:rFonts w:asciiTheme="minorHAnsi" w:eastAsiaTheme="minorHAnsi" w:hAnsiTheme="minorHAnsi" w:cs="Times New Roman"/>
          <w:color w:val="0F1010"/>
        </w:rPr>
        <w:t>The Efficiency Value will also be calculated for each project using the CPUC Deemed load shape and EUL values for a project's primary measure class, then subtracting customer and admin costs. This value can be thought of as a price floor for aggregators.</w:t>
      </w:r>
    </w:p>
    <w:p w14:paraId="13FFF78E" w14:textId="0B0992BE" w:rsidR="00B1569B" w:rsidRPr="00EA3B10" w:rsidRDefault="00B1569B" w:rsidP="00B1569B">
      <w:pPr>
        <w:widowControl/>
        <w:adjustRightInd w:val="0"/>
        <w:spacing w:after="120"/>
        <w:rPr>
          <w:rFonts w:asciiTheme="minorHAnsi" w:eastAsiaTheme="minorHAnsi" w:hAnsiTheme="minorHAnsi" w:cs="Times New Roman"/>
          <w:color w:val="0F1010"/>
        </w:rPr>
      </w:pPr>
      <w:r w:rsidRPr="00EA3B10">
        <w:rPr>
          <w:rFonts w:asciiTheme="minorHAnsi" w:eastAsiaTheme="minorHAnsi" w:hAnsiTheme="minorHAnsi" w:cs="Times New Roman"/>
          <w:color w:val="0F1010"/>
        </w:rPr>
        <w:t>Recurve will enroll projects and track savings for every project in an aggregator's portfolio and provide aggregator's near-real-time M&amp;V to all through our Fleet Manager portal, and track payment recommendations through the Flex Ledger.</w:t>
      </w:r>
    </w:p>
    <w:p w14:paraId="7AE2F41D" w14:textId="51C379EF" w:rsidR="00B1569B" w:rsidRPr="00EA3B10" w:rsidRDefault="00B1569B">
      <w:pPr>
        <w:pStyle w:val="BodyText"/>
        <w:spacing w:before="6" w:after="1"/>
        <w:ind w:left="0"/>
        <w:rPr>
          <w:rFonts w:asciiTheme="minorHAnsi" w:hAnsiTheme="minorHAnsi"/>
          <w:sz w:val="22"/>
          <w:szCs w:val="22"/>
        </w:rPr>
      </w:pPr>
    </w:p>
    <w:p w14:paraId="5B2838AC" w14:textId="0EC0891F" w:rsidR="004E3FE0" w:rsidRPr="00EA3B10" w:rsidRDefault="00B1569B" w:rsidP="00EA3B10">
      <w:pPr>
        <w:pStyle w:val="BodyText"/>
        <w:spacing w:before="6" w:after="1"/>
        <w:ind w:left="0"/>
        <w:rPr>
          <w:rFonts w:asciiTheme="minorHAnsi" w:hAnsiTheme="minorHAnsi"/>
          <w:b/>
          <w:bCs/>
        </w:rPr>
      </w:pPr>
      <w:r w:rsidRPr="00EA3B10">
        <w:rPr>
          <w:rFonts w:asciiTheme="minorHAnsi" w:hAnsiTheme="minorHAnsi"/>
          <w:b/>
          <w:bCs/>
        </w:rPr>
        <w:t>Understanding Avoided Cost</w:t>
      </w:r>
    </w:p>
    <w:p w14:paraId="28103E45" w14:textId="0B591B91" w:rsidR="00B1569B" w:rsidRPr="00EA3B10" w:rsidRDefault="00B1569B" w:rsidP="00EA3B10">
      <w:pPr>
        <w:widowControl/>
        <w:adjustRightInd w:val="0"/>
        <w:spacing w:after="120"/>
        <w:rPr>
          <w:rFonts w:asciiTheme="minorHAnsi" w:eastAsiaTheme="minorHAnsi" w:hAnsiTheme="minorHAnsi" w:cs="Times New Roman"/>
          <w:color w:val="3B3C3C"/>
        </w:rPr>
      </w:pPr>
      <w:r w:rsidRPr="00EA3B10">
        <w:rPr>
          <w:rFonts w:asciiTheme="minorHAnsi" w:hAnsiTheme="minorHAnsi"/>
          <w:noProof/>
        </w:rPr>
        <w:drawing>
          <wp:anchor distT="0" distB="0" distL="0" distR="0" simplePos="0" relativeHeight="251658240" behindDoc="1" locked="0" layoutInCell="1" allowOverlap="1" wp14:anchorId="5D8408A6" wp14:editId="48167C1D">
            <wp:simplePos x="0" y="0"/>
            <wp:positionH relativeFrom="margin">
              <wp:posOffset>3359150</wp:posOffset>
            </wp:positionH>
            <wp:positionV relativeFrom="margin">
              <wp:posOffset>5147945</wp:posOffset>
            </wp:positionV>
            <wp:extent cx="2813050" cy="2461260"/>
            <wp:effectExtent l="0" t="0" r="6350" b="2540"/>
            <wp:wrapTight wrapText="bothSides">
              <wp:wrapPolygon edited="0">
                <wp:start x="0" y="0"/>
                <wp:lineTo x="0" y="21511"/>
                <wp:lineTo x="21551" y="21511"/>
                <wp:lineTo x="21551" y="0"/>
                <wp:lineTo x="0" y="0"/>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7" cstate="print"/>
                    <a:srcRect l="57463" t="15680" r="3731" b="7782"/>
                    <a:stretch/>
                  </pic:blipFill>
                  <pic:spPr bwMode="auto">
                    <a:xfrm>
                      <a:off x="0" y="0"/>
                      <a:ext cx="2813050" cy="2461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3B10">
        <w:rPr>
          <w:rFonts w:asciiTheme="minorHAnsi" w:eastAsiaTheme="minorHAnsi" w:hAnsiTheme="minorHAnsi" w:cs="Times New Roman"/>
          <w:color w:val="3B3C3C"/>
        </w:rPr>
        <w:t xml:space="preserve">The CPUC Avoided Cost Calculator provides a set of 8760 marginal hourly values for the California Grid. This data </w:t>
      </w:r>
      <w:r w:rsidRPr="00EA3B10">
        <w:rPr>
          <w:rFonts w:asciiTheme="minorHAnsi" w:eastAsiaTheme="minorHAnsi" w:hAnsiTheme="minorHAnsi" w:cs="Times New Roman"/>
          <w:color w:val="4F4F4F"/>
        </w:rPr>
        <w:t xml:space="preserve">set </w:t>
      </w:r>
      <w:r w:rsidRPr="00EA3B10">
        <w:rPr>
          <w:rFonts w:asciiTheme="minorHAnsi" w:eastAsiaTheme="minorHAnsi" w:hAnsiTheme="minorHAnsi" w:cs="Times New Roman"/>
          <w:color w:val="3B3C3C"/>
        </w:rPr>
        <w:t>is used to value demand flexibility in this marketplace and feeds into the Project Value Estimator and the TRC calculation that derives Flex and Efficiency Payments.</w:t>
      </w:r>
    </w:p>
    <w:p w14:paraId="7F039C76" w14:textId="78709413" w:rsidR="00B1569B" w:rsidRPr="00EA3B10" w:rsidRDefault="00B1569B" w:rsidP="00EA3B10">
      <w:pPr>
        <w:widowControl/>
        <w:adjustRightInd w:val="0"/>
        <w:spacing w:after="120"/>
        <w:rPr>
          <w:rFonts w:asciiTheme="minorHAnsi" w:eastAsiaTheme="minorHAnsi" w:hAnsiTheme="minorHAnsi" w:cs="Times New Roman"/>
          <w:color w:val="3B3C3C"/>
        </w:rPr>
      </w:pPr>
      <w:r w:rsidRPr="00EA3B10">
        <w:rPr>
          <w:rFonts w:asciiTheme="minorHAnsi" w:eastAsiaTheme="minorHAnsi" w:hAnsiTheme="minorHAnsi" w:cs="Times New Roman"/>
          <w:color w:val="3B3C3C"/>
        </w:rPr>
        <w:t>Recurve provides aggregators access to the Valuation Explorer tool that will allow detailed analysis of the Avoided Cost price signal to enable analysis of actual project values. The Avoided Cost Calculators can then be downloaded as a CSV and used in conjunction with modeled or actual past hourly resource curves (savings load shapes) to estimate the avoided cost value of project to forecast potential cashflows.</w:t>
      </w:r>
    </w:p>
    <w:p w14:paraId="22BD3B7C" w14:textId="77777777" w:rsidR="004E3FE0" w:rsidRPr="00EA3B10" w:rsidRDefault="00B1569B">
      <w:pPr>
        <w:rPr>
          <w:rFonts w:asciiTheme="minorHAnsi" w:hAnsiTheme="minorHAnsi"/>
          <w:sz w:val="12"/>
        </w:rPr>
      </w:pPr>
      <w:r w:rsidRPr="00EA3B10">
        <w:rPr>
          <w:rFonts w:asciiTheme="minorHAnsi" w:hAnsiTheme="minorHAnsi"/>
          <w:noProof/>
          <w:sz w:val="20"/>
        </w:rPr>
        <w:lastRenderedPageBreak/>
        <w:drawing>
          <wp:inline distT="0" distB="0" distL="0" distR="0" wp14:anchorId="6C084694" wp14:editId="20FD5AA0">
            <wp:extent cx="5647690" cy="1920240"/>
            <wp:effectExtent l="0" t="0" r="3810" b="0"/>
            <wp:docPr id="5" name="image3.jpeg"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Graphical user interface&#10;&#10;Description automatically generated"/>
                    <pic:cNvPicPr/>
                  </pic:nvPicPr>
                  <pic:blipFill rotWithShape="1">
                    <a:blip r:embed="rId8" cstate="print"/>
                    <a:srcRect t="2" b="68113"/>
                    <a:stretch/>
                  </pic:blipFill>
                  <pic:spPr bwMode="auto">
                    <a:xfrm>
                      <a:off x="0" y="0"/>
                      <a:ext cx="5653008" cy="1922048"/>
                    </a:xfrm>
                    <a:prstGeom prst="rect">
                      <a:avLst/>
                    </a:prstGeom>
                    <a:ln>
                      <a:noFill/>
                    </a:ln>
                    <a:extLst>
                      <a:ext uri="{53640926-AAD7-44D8-BBD7-CCE9431645EC}">
                        <a14:shadowObscured xmlns:a14="http://schemas.microsoft.com/office/drawing/2010/main"/>
                      </a:ext>
                    </a:extLst>
                  </pic:spPr>
                </pic:pic>
              </a:graphicData>
            </a:graphic>
          </wp:inline>
        </w:drawing>
      </w:r>
    </w:p>
    <w:p w14:paraId="0C5F1065" w14:textId="77777777" w:rsidR="00985C49" w:rsidRPr="00EA3B10" w:rsidRDefault="00985C49" w:rsidP="00985C49">
      <w:pPr>
        <w:rPr>
          <w:rFonts w:asciiTheme="minorHAnsi" w:hAnsiTheme="minorHAnsi"/>
          <w:b/>
          <w:bCs/>
        </w:rPr>
      </w:pPr>
    </w:p>
    <w:p w14:paraId="03739AA1" w14:textId="71284540" w:rsidR="00985C49" w:rsidRPr="00EA3B10" w:rsidRDefault="00985C49" w:rsidP="00EA3B10">
      <w:pPr>
        <w:pStyle w:val="BodyText"/>
        <w:spacing w:before="6" w:after="1"/>
        <w:ind w:left="0"/>
        <w:rPr>
          <w:rFonts w:asciiTheme="minorHAnsi" w:hAnsiTheme="minorHAnsi"/>
          <w:b/>
          <w:bCs/>
        </w:rPr>
      </w:pPr>
      <w:r w:rsidRPr="00EA3B10">
        <w:rPr>
          <w:rFonts w:asciiTheme="minorHAnsi" w:hAnsiTheme="minorHAnsi"/>
          <w:b/>
          <w:bCs/>
        </w:rPr>
        <w:t>Valuation Explorer</w:t>
      </w:r>
      <w:r w:rsidR="008702D1" w:rsidRPr="00EA3B10">
        <w:rPr>
          <w:rFonts w:asciiTheme="minorHAnsi" w:hAnsiTheme="minorHAnsi"/>
          <w:b/>
          <w:bCs/>
          <w:noProof/>
          <w:sz w:val="20"/>
        </w:rPr>
        <w:drawing>
          <wp:anchor distT="0" distB="0" distL="114300" distR="114300" simplePos="0" relativeHeight="251660288" behindDoc="0" locked="0" layoutInCell="1" allowOverlap="1" wp14:anchorId="61471FE4" wp14:editId="6AF6BD50">
            <wp:simplePos x="0" y="0"/>
            <wp:positionH relativeFrom="margin">
              <wp:posOffset>3380740</wp:posOffset>
            </wp:positionH>
            <wp:positionV relativeFrom="margin">
              <wp:posOffset>2351331</wp:posOffset>
            </wp:positionV>
            <wp:extent cx="2700020" cy="3409950"/>
            <wp:effectExtent l="0" t="0" r="5080" b="6350"/>
            <wp:wrapSquare wrapText="bothSides"/>
            <wp:docPr id="8" name="image3.jpeg"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Graphical user interface&#10;&#10;Description automatically generated"/>
                    <pic:cNvPicPr/>
                  </pic:nvPicPr>
                  <pic:blipFill rotWithShape="1">
                    <a:blip r:embed="rId9" cstate="print">
                      <a:extLst>
                        <a:ext uri="{28A0092B-C50C-407E-A947-70E740481C1C}">
                          <a14:useLocalDpi xmlns:a14="http://schemas.microsoft.com/office/drawing/2010/main" val="0"/>
                        </a:ext>
                      </a:extLst>
                    </a:blip>
                    <a:srcRect l="47535" t="42088" r="4548" b="1147"/>
                    <a:stretch/>
                  </pic:blipFill>
                  <pic:spPr bwMode="auto">
                    <a:xfrm>
                      <a:off x="0" y="0"/>
                      <a:ext cx="2700020" cy="34099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5DA77BB" w14:textId="29076432" w:rsidR="00985C49" w:rsidRPr="00EA3B10" w:rsidRDefault="00985C49" w:rsidP="00985C49">
      <w:pPr>
        <w:widowControl/>
        <w:adjustRightInd w:val="0"/>
        <w:rPr>
          <w:rFonts w:asciiTheme="minorHAnsi" w:eastAsiaTheme="minorHAnsi" w:hAnsiTheme="minorHAnsi" w:cs="Times New Roman"/>
          <w:color w:val="343636"/>
        </w:rPr>
      </w:pPr>
      <w:r w:rsidRPr="00EA3B10">
        <w:rPr>
          <w:rFonts w:asciiTheme="minorHAnsi" w:eastAsiaTheme="minorHAnsi" w:hAnsiTheme="minorHAnsi" w:cs="Times New Roman"/>
          <w:color w:val="343636"/>
        </w:rPr>
        <w:t>The Flexibility Value Explorer dashboard enables aggregators to explore the avoided cast value that, when combined with your savings load shape and useful life of your primary measure, determine the top line value of your projects.</w:t>
      </w:r>
    </w:p>
    <w:p w14:paraId="68A53EF2" w14:textId="7C9ECA85" w:rsidR="00985C49" w:rsidRPr="00EA3B10" w:rsidRDefault="00985C49" w:rsidP="00985C49">
      <w:pPr>
        <w:widowControl/>
        <w:adjustRightInd w:val="0"/>
        <w:rPr>
          <w:rFonts w:asciiTheme="minorHAnsi" w:eastAsiaTheme="minorHAnsi" w:hAnsiTheme="minorHAnsi" w:cs="Times New Roman"/>
          <w:color w:val="343636"/>
        </w:rPr>
      </w:pPr>
    </w:p>
    <w:p w14:paraId="642C3CF6" w14:textId="718CCDC1" w:rsidR="00985C49" w:rsidRPr="00EA3B10" w:rsidRDefault="00985C49" w:rsidP="00985C49">
      <w:pPr>
        <w:widowControl/>
        <w:adjustRightInd w:val="0"/>
        <w:rPr>
          <w:rFonts w:asciiTheme="minorHAnsi" w:eastAsiaTheme="minorHAnsi" w:hAnsiTheme="minorHAnsi" w:cs="Times New Roman"/>
          <w:color w:val="343636"/>
        </w:rPr>
      </w:pPr>
      <w:r w:rsidRPr="00EA3B10">
        <w:rPr>
          <w:rFonts w:asciiTheme="minorHAnsi" w:eastAsiaTheme="minorHAnsi" w:hAnsiTheme="minorHAnsi" w:cs="Times New Roman"/>
          <w:color w:val="343636"/>
        </w:rPr>
        <w:t>Not only does this handy dashboard let you visualize</w:t>
      </w:r>
      <w:r w:rsidR="00EA3B10">
        <w:rPr>
          <w:rFonts w:asciiTheme="minorHAnsi" w:eastAsiaTheme="minorHAnsi" w:hAnsiTheme="minorHAnsi" w:cs="Times New Roman"/>
          <w:color w:val="343636"/>
        </w:rPr>
        <w:t xml:space="preserve"> </w:t>
      </w:r>
      <w:r w:rsidRPr="00EA3B10">
        <w:rPr>
          <w:rFonts w:asciiTheme="minorHAnsi" w:eastAsiaTheme="minorHAnsi" w:hAnsiTheme="minorHAnsi" w:cs="Times New Roman"/>
          <w:color w:val="343636"/>
        </w:rPr>
        <w:t>the Avoided Cost Value, but will also allow you to download a CSV file that includes the 8760 values. This can be used, in combination with your own resource curve data (savings load shape) either from empirical analysis, or even from models, to determine the value of your projects.</w:t>
      </w:r>
    </w:p>
    <w:p w14:paraId="0EC05D47" w14:textId="67ED5A90" w:rsidR="00985C49" w:rsidRPr="00EA3B10" w:rsidRDefault="00985C49" w:rsidP="00985C49">
      <w:pPr>
        <w:widowControl/>
        <w:adjustRightInd w:val="0"/>
        <w:rPr>
          <w:rFonts w:asciiTheme="minorHAnsi" w:eastAsiaTheme="minorHAnsi" w:hAnsiTheme="minorHAnsi" w:cs="Times New Roman"/>
          <w:color w:val="343535"/>
        </w:rPr>
      </w:pPr>
    </w:p>
    <w:p w14:paraId="1DEDEA1B" w14:textId="28447EDF" w:rsidR="00985C49" w:rsidRPr="00EA3B10" w:rsidRDefault="00985C49" w:rsidP="00985C49">
      <w:pPr>
        <w:widowControl/>
        <w:adjustRightInd w:val="0"/>
        <w:rPr>
          <w:rFonts w:asciiTheme="minorHAnsi" w:eastAsiaTheme="minorHAnsi" w:hAnsiTheme="minorHAnsi" w:cs="Times New Roman"/>
          <w:color w:val="343535"/>
        </w:rPr>
      </w:pPr>
      <w:r w:rsidRPr="00EA3B10">
        <w:rPr>
          <w:rFonts w:asciiTheme="minorHAnsi" w:eastAsiaTheme="minorHAnsi" w:hAnsiTheme="minorHAnsi" w:cs="Times New Roman"/>
          <w:color w:val="343535"/>
        </w:rPr>
        <w:t>This dashboard requires the basic inputs to calculate the Total Resource Cost test to ascertain for sample project data the available Aggregator Payment value.</w:t>
      </w:r>
    </w:p>
    <w:p w14:paraId="3BCF5963" w14:textId="77777777" w:rsidR="00EA3B10" w:rsidRDefault="00EA3B10" w:rsidP="00985C49">
      <w:pPr>
        <w:widowControl/>
        <w:adjustRightInd w:val="0"/>
        <w:rPr>
          <w:rFonts w:asciiTheme="minorHAnsi" w:eastAsiaTheme="minorHAnsi" w:hAnsiTheme="minorHAnsi" w:cs="Times New Roman"/>
          <w:color w:val="343535"/>
        </w:rPr>
      </w:pPr>
    </w:p>
    <w:p w14:paraId="375F770C" w14:textId="41BE47A5" w:rsidR="00985C49" w:rsidRPr="00EA3B10" w:rsidRDefault="00985C49" w:rsidP="00985C49">
      <w:pPr>
        <w:widowControl/>
        <w:adjustRightInd w:val="0"/>
        <w:rPr>
          <w:rFonts w:asciiTheme="minorHAnsi" w:eastAsiaTheme="minorHAnsi" w:hAnsiTheme="minorHAnsi" w:cs="Times New Roman"/>
          <w:color w:val="343535"/>
        </w:rPr>
      </w:pPr>
      <w:r w:rsidRPr="00EA3B10">
        <w:rPr>
          <w:rFonts w:asciiTheme="minorHAnsi" w:hAnsiTheme="minorHAnsi"/>
          <w:noProof/>
          <w:sz w:val="20"/>
        </w:rPr>
        <w:drawing>
          <wp:anchor distT="0" distB="0" distL="114300" distR="114300" simplePos="0" relativeHeight="251661312" behindDoc="0" locked="0" layoutInCell="1" allowOverlap="1" wp14:anchorId="46086EED" wp14:editId="60CB0057">
            <wp:simplePos x="0" y="0"/>
            <wp:positionH relativeFrom="margin">
              <wp:posOffset>2731770</wp:posOffset>
            </wp:positionH>
            <wp:positionV relativeFrom="margin">
              <wp:posOffset>5763260</wp:posOffset>
            </wp:positionV>
            <wp:extent cx="3348990" cy="2083435"/>
            <wp:effectExtent l="0" t="0" r="3810" b="0"/>
            <wp:wrapSquare wrapText="bothSides"/>
            <wp:docPr id="7" name="image4.jpeg"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Graphical user interface, application, Word&#10;&#10;Description automatically generated"/>
                    <pic:cNvPicPr/>
                  </pic:nvPicPr>
                  <pic:blipFill rotWithShape="1">
                    <a:blip r:embed="rId10" cstate="print">
                      <a:extLst>
                        <a:ext uri="{28A0092B-C50C-407E-A947-70E740481C1C}">
                          <a14:useLocalDpi xmlns:a14="http://schemas.microsoft.com/office/drawing/2010/main" val="0"/>
                        </a:ext>
                      </a:extLst>
                    </a:blip>
                    <a:srcRect l="40318" t="51701" r="2443" b="5700"/>
                    <a:stretch/>
                  </pic:blipFill>
                  <pic:spPr bwMode="auto">
                    <a:xfrm>
                      <a:off x="0" y="0"/>
                      <a:ext cx="3348990" cy="2083435"/>
                    </a:xfrm>
                    <a:prstGeom prst="rect">
                      <a:avLst/>
                    </a:prstGeom>
                    <a:ln>
                      <a:noFill/>
                    </a:ln>
                    <a:extLst>
                      <a:ext uri="{53640926-AAD7-44D8-BBD7-CCE9431645EC}">
                        <a14:shadowObscured xmlns:a14="http://schemas.microsoft.com/office/drawing/2010/main"/>
                      </a:ext>
                    </a:extLst>
                  </pic:spPr>
                </pic:pic>
              </a:graphicData>
            </a:graphic>
          </wp:anchor>
        </w:drawing>
      </w:r>
      <w:r w:rsidRPr="00EA3B10">
        <w:rPr>
          <w:rFonts w:asciiTheme="minorHAnsi" w:eastAsiaTheme="minorHAnsi" w:hAnsiTheme="minorHAnsi" w:cs="Times New Roman"/>
          <w:color w:val="343535"/>
        </w:rPr>
        <w:t>Aggregators are paid on the delta between project energy related costs and administration, and the total lifetime avoid cost value, in order to achieve a TRC of 1.0 (aka, pays for itself over the useful life of the measure).</w:t>
      </w:r>
      <w:r w:rsidRPr="00EA3B10">
        <w:rPr>
          <w:rFonts w:asciiTheme="minorHAnsi" w:hAnsiTheme="minorHAnsi"/>
          <w:noProof/>
          <w:sz w:val="20"/>
        </w:rPr>
        <w:t xml:space="preserve"> </w:t>
      </w:r>
    </w:p>
    <w:p w14:paraId="43B4EC1C" w14:textId="77777777" w:rsidR="00985C49" w:rsidRPr="00EA3B10" w:rsidRDefault="00985C49" w:rsidP="00985C49">
      <w:pPr>
        <w:widowControl/>
        <w:adjustRightInd w:val="0"/>
        <w:rPr>
          <w:rFonts w:asciiTheme="minorHAnsi" w:eastAsiaTheme="minorHAnsi" w:hAnsiTheme="minorHAnsi" w:cs="Times New Roman"/>
          <w:color w:val="343535"/>
        </w:rPr>
      </w:pPr>
    </w:p>
    <w:p w14:paraId="25EFA149" w14:textId="3AB877DF" w:rsidR="00985C49" w:rsidRPr="00EA3B10" w:rsidRDefault="00985C49" w:rsidP="00985C49">
      <w:pPr>
        <w:widowControl/>
        <w:adjustRightInd w:val="0"/>
        <w:rPr>
          <w:rFonts w:asciiTheme="minorHAnsi" w:eastAsiaTheme="minorHAnsi" w:hAnsiTheme="minorHAnsi" w:cs="Times New Roman"/>
          <w:color w:val="343535"/>
        </w:rPr>
      </w:pPr>
      <w:r w:rsidRPr="00EA3B10">
        <w:rPr>
          <w:rFonts w:asciiTheme="minorHAnsi" w:eastAsiaTheme="minorHAnsi" w:hAnsiTheme="minorHAnsi" w:cs="Times New Roman"/>
          <w:color w:val="343535"/>
        </w:rPr>
        <w:t>Aggregators can earn more by reducing customers costs, and most importantly, increasing savings and the value of the resource curve (savings load shape) delivered.</w:t>
      </w:r>
    </w:p>
    <w:p w14:paraId="08D6DAA8" w14:textId="77777777" w:rsidR="00985C49" w:rsidRPr="00EA3B10" w:rsidRDefault="00985C49" w:rsidP="00985C49">
      <w:pPr>
        <w:widowControl/>
        <w:adjustRightInd w:val="0"/>
        <w:rPr>
          <w:rFonts w:asciiTheme="minorHAnsi" w:eastAsiaTheme="minorHAnsi" w:hAnsiTheme="minorHAnsi" w:cs="Times New Roman"/>
          <w:color w:val="343535"/>
        </w:rPr>
      </w:pPr>
    </w:p>
    <w:p w14:paraId="3921EFD5" w14:textId="6EA3468F" w:rsidR="00985C49" w:rsidRPr="00EA3B10" w:rsidRDefault="00985C49" w:rsidP="00985C49">
      <w:pPr>
        <w:widowControl/>
        <w:adjustRightInd w:val="0"/>
        <w:rPr>
          <w:rFonts w:asciiTheme="minorHAnsi" w:eastAsiaTheme="minorHAnsi" w:hAnsiTheme="minorHAnsi" w:cs="Times New Roman"/>
          <w:color w:val="343535"/>
        </w:rPr>
      </w:pPr>
      <w:r w:rsidRPr="00EA3B10">
        <w:rPr>
          <w:rFonts w:asciiTheme="minorHAnsi" w:eastAsiaTheme="minorHAnsi" w:hAnsiTheme="minorHAnsi" w:cs="Times New Roman"/>
          <w:color w:val="343535"/>
        </w:rPr>
        <w:t>These Deemed savings should be viewed as the value floor.</w:t>
      </w:r>
    </w:p>
    <w:p w14:paraId="3EED23E9" w14:textId="102B88D4" w:rsidR="00985C49" w:rsidRPr="00EA3B10" w:rsidRDefault="00985C49" w:rsidP="00985C49">
      <w:pPr>
        <w:rPr>
          <w:rFonts w:asciiTheme="minorHAnsi" w:hAnsiTheme="minorHAnsi"/>
          <w:sz w:val="12"/>
        </w:rPr>
        <w:sectPr w:rsidR="00985C49" w:rsidRPr="00EA3B10">
          <w:headerReference w:type="default" r:id="rId11"/>
          <w:footerReference w:type="default" r:id="rId12"/>
          <w:type w:val="continuous"/>
          <w:pgSz w:w="12240" w:h="15840"/>
          <w:pgMar w:top="1420" w:right="1320" w:bottom="1000" w:left="1340" w:header="727" w:footer="806" w:gutter="0"/>
          <w:pgNumType w:start="1"/>
          <w:cols w:space="720"/>
        </w:sectPr>
      </w:pPr>
    </w:p>
    <w:p w14:paraId="2549D561" w14:textId="12FBDA58" w:rsidR="003433A3" w:rsidRPr="00EA3B10" w:rsidRDefault="003433A3" w:rsidP="00EA3B10">
      <w:pPr>
        <w:pStyle w:val="BodyText"/>
        <w:spacing w:before="6" w:after="1"/>
        <w:ind w:left="0"/>
        <w:rPr>
          <w:rFonts w:asciiTheme="minorHAnsi" w:hAnsiTheme="minorHAnsi"/>
          <w:b/>
          <w:bCs/>
        </w:rPr>
      </w:pPr>
      <w:r w:rsidRPr="00EA3B10">
        <w:rPr>
          <w:rFonts w:asciiTheme="minorHAnsi" w:hAnsiTheme="minorHAnsi"/>
          <w:b/>
          <w:bCs/>
        </w:rPr>
        <w:lastRenderedPageBreak/>
        <w:t>Market Sizing</w:t>
      </w:r>
    </w:p>
    <w:p w14:paraId="62F42ADF" w14:textId="3BA8B117" w:rsidR="003433A3" w:rsidRPr="00EA3B10" w:rsidRDefault="003433A3" w:rsidP="003433A3">
      <w:pPr>
        <w:widowControl/>
        <w:adjustRightInd w:val="0"/>
        <w:rPr>
          <w:rFonts w:asciiTheme="minorHAnsi" w:eastAsiaTheme="minorHAnsi" w:hAnsiTheme="minorHAnsi" w:cs="Times New Roman"/>
          <w:color w:val="343535"/>
        </w:rPr>
      </w:pPr>
      <w:r w:rsidRPr="00EA3B10">
        <w:rPr>
          <w:rFonts w:asciiTheme="minorHAnsi" w:eastAsiaTheme="minorHAnsi" w:hAnsiTheme="minorHAnsi" w:cs="Times New Roman"/>
          <w:color w:val="343535"/>
        </w:rPr>
        <w:t>Recurve will work with aggregators early in the process to survey the MCE marketplace to identify in broad terms the number of potential customers based on NAICS group, level of energy usage, and desired end uses. This initial analysis will inform the early go-no-go decision by aggregators to participate, and be the starting point for specific customer targeting.</w:t>
      </w:r>
    </w:p>
    <w:p w14:paraId="13709D04" w14:textId="027906EE" w:rsidR="003433A3" w:rsidRPr="00EA3B10" w:rsidRDefault="003433A3" w:rsidP="003433A3">
      <w:pPr>
        <w:rPr>
          <w:rFonts w:asciiTheme="minorHAnsi" w:eastAsiaTheme="minorHAnsi" w:hAnsiTheme="minorHAnsi" w:cs="Times New Roman"/>
          <w:color w:val="343535"/>
        </w:rPr>
      </w:pPr>
    </w:p>
    <w:p w14:paraId="769AEF59" w14:textId="1F40D5A3" w:rsidR="003433A3" w:rsidRPr="00EA3B10" w:rsidRDefault="003433A3" w:rsidP="00EA3B10">
      <w:pPr>
        <w:pStyle w:val="BodyText"/>
        <w:spacing w:before="6" w:after="1"/>
        <w:ind w:left="0"/>
        <w:rPr>
          <w:rFonts w:asciiTheme="minorHAnsi" w:hAnsiTheme="minorHAnsi"/>
          <w:b/>
          <w:bCs/>
        </w:rPr>
      </w:pPr>
      <w:r w:rsidRPr="00EA3B10">
        <w:rPr>
          <w:rFonts w:asciiTheme="minorHAnsi" w:hAnsiTheme="minorHAnsi"/>
          <w:b/>
          <w:bCs/>
        </w:rPr>
        <w:t>Targeting and Optimization to Maximize Value</w:t>
      </w:r>
    </w:p>
    <w:p w14:paraId="56DF6A34" w14:textId="3A2C21D2" w:rsidR="008702D1" w:rsidRPr="00EA3B10" w:rsidRDefault="008702D1" w:rsidP="008702D1">
      <w:pPr>
        <w:widowControl/>
        <w:adjustRightInd w:val="0"/>
        <w:rPr>
          <w:rFonts w:asciiTheme="minorHAnsi" w:eastAsiaTheme="minorHAnsi" w:hAnsiTheme="minorHAnsi" w:cs="Times New Roman"/>
          <w:color w:val="343535"/>
        </w:rPr>
      </w:pPr>
      <w:r w:rsidRPr="00EA3B10">
        <w:rPr>
          <w:rFonts w:asciiTheme="minorHAnsi" w:eastAsiaTheme="minorHAnsi" w:hAnsiTheme="minorHAnsi" w:cs="Times New Roman"/>
          <w:noProof/>
          <w:color w:val="343535"/>
        </w:rPr>
        <w:drawing>
          <wp:anchor distT="0" distB="0" distL="114300" distR="114300" simplePos="0" relativeHeight="251662336" behindDoc="0" locked="0" layoutInCell="1" allowOverlap="1" wp14:anchorId="1A38ABA5" wp14:editId="6B6C3869">
            <wp:simplePos x="0" y="0"/>
            <wp:positionH relativeFrom="margin">
              <wp:posOffset>2776855</wp:posOffset>
            </wp:positionH>
            <wp:positionV relativeFrom="margin">
              <wp:posOffset>1286761</wp:posOffset>
            </wp:positionV>
            <wp:extent cx="3306445" cy="2371060"/>
            <wp:effectExtent l="0" t="0" r="0" b="4445"/>
            <wp:wrapSquare wrapText="bothSides"/>
            <wp:docPr id="10" name="image5.pn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Graphical user interface, text, application&#10;&#10;Description automatically generated"/>
                    <pic:cNvPicPr/>
                  </pic:nvPicPr>
                  <pic:blipFill rotWithShape="1">
                    <a:blip r:embed="rId13" cstate="print">
                      <a:extLst>
                        <a:ext uri="{28A0092B-C50C-407E-A947-70E740481C1C}">
                          <a14:useLocalDpi xmlns:a14="http://schemas.microsoft.com/office/drawing/2010/main" val="0"/>
                        </a:ext>
                      </a:extLst>
                    </a:blip>
                    <a:srcRect l="39610" t="7973" r="2825" b="53365"/>
                    <a:stretch/>
                  </pic:blipFill>
                  <pic:spPr bwMode="auto">
                    <a:xfrm>
                      <a:off x="0" y="0"/>
                      <a:ext cx="3306445" cy="2371060"/>
                    </a:xfrm>
                    <a:prstGeom prst="rect">
                      <a:avLst/>
                    </a:prstGeom>
                    <a:ln>
                      <a:noFill/>
                    </a:ln>
                    <a:extLst>
                      <a:ext uri="{53640926-AAD7-44D8-BBD7-CCE9431645EC}">
                        <a14:shadowObscured xmlns:a14="http://schemas.microsoft.com/office/drawing/2010/main"/>
                      </a:ext>
                    </a:extLst>
                  </pic:spPr>
                </pic:pic>
              </a:graphicData>
            </a:graphic>
          </wp:anchor>
        </w:drawing>
      </w:r>
      <w:r w:rsidRPr="00EA3B10">
        <w:rPr>
          <w:rFonts w:asciiTheme="minorHAnsi" w:eastAsiaTheme="minorHAnsi" w:hAnsiTheme="minorHAnsi" w:cs="Times New Roman"/>
          <w:color w:val="343535"/>
        </w:rPr>
        <w:t>Aggregators have an incentive to both increase the volume of total savings and maximize the value of the resource curve (savings load shape) they are delivering to maximize project value. The aggregator may also reduce customer cost as a means to increase the available incentive that is cost-effective per the Total Resource Cost test. We would encourage all aggregators to take time using the Project Value Calculator to understand these interactive effects to develop a model that maximizes grid impacts and customer offerings to maximize project value.</w:t>
      </w:r>
    </w:p>
    <w:p w14:paraId="3715A943" w14:textId="4C389C55" w:rsidR="008702D1" w:rsidRPr="00EA3B10" w:rsidRDefault="008702D1" w:rsidP="008702D1">
      <w:pPr>
        <w:widowControl/>
        <w:adjustRightInd w:val="0"/>
        <w:rPr>
          <w:rFonts w:asciiTheme="minorHAnsi" w:eastAsiaTheme="minorHAnsi" w:hAnsiTheme="minorHAnsi" w:cs="Times New Roman"/>
          <w:color w:val="343535"/>
        </w:rPr>
      </w:pPr>
      <w:r w:rsidRPr="00EA3B10">
        <w:rPr>
          <w:rFonts w:asciiTheme="minorHAnsi" w:hAnsiTheme="minorHAnsi"/>
          <w:noProof/>
          <w:sz w:val="20"/>
        </w:rPr>
        <w:drawing>
          <wp:anchor distT="0" distB="0" distL="114300" distR="114300" simplePos="0" relativeHeight="251663360" behindDoc="0" locked="0" layoutInCell="1" allowOverlap="1" wp14:anchorId="2648E210" wp14:editId="2AC1A534">
            <wp:simplePos x="0" y="0"/>
            <wp:positionH relativeFrom="margin">
              <wp:posOffset>2838450</wp:posOffset>
            </wp:positionH>
            <wp:positionV relativeFrom="margin">
              <wp:posOffset>3702050</wp:posOffset>
            </wp:positionV>
            <wp:extent cx="3178810" cy="3210560"/>
            <wp:effectExtent l="0" t="0" r="0" b="2540"/>
            <wp:wrapSquare wrapText="bothSides"/>
            <wp:docPr id="12" name="image8.pn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descr="Graphical user interface, application&#10;&#10;Description automatically generated"/>
                    <pic:cNvPicPr/>
                  </pic:nvPicPr>
                  <pic:blipFill rotWithShape="1">
                    <a:blip r:embed="rId14" cstate="print">
                      <a:extLst>
                        <a:ext uri="{28A0092B-C50C-407E-A947-70E740481C1C}">
                          <a14:useLocalDpi xmlns:a14="http://schemas.microsoft.com/office/drawing/2010/main" val="0"/>
                        </a:ext>
                      </a:extLst>
                    </a:blip>
                    <a:srcRect l="12845" r="14018" b="45555"/>
                    <a:stretch/>
                  </pic:blipFill>
                  <pic:spPr bwMode="auto">
                    <a:xfrm>
                      <a:off x="0" y="0"/>
                      <a:ext cx="3178810" cy="3210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DAD623" w14:textId="3F416E7E" w:rsidR="008702D1" w:rsidRPr="00EA3B10" w:rsidRDefault="008702D1" w:rsidP="008702D1">
      <w:pPr>
        <w:widowControl/>
        <w:adjustRightInd w:val="0"/>
        <w:rPr>
          <w:rFonts w:asciiTheme="minorHAnsi" w:eastAsiaTheme="minorHAnsi" w:hAnsiTheme="minorHAnsi" w:cs="Times New Roman"/>
          <w:color w:val="343535"/>
        </w:rPr>
      </w:pPr>
      <w:r w:rsidRPr="00EA3B10">
        <w:rPr>
          <w:rFonts w:asciiTheme="minorHAnsi" w:eastAsiaTheme="minorHAnsi" w:hAnsiTheme="minorHAnsi" w:cs="Times New Roman"/>
          <w:color w:val="343535"/>
        </w:rPr>
        <w:t>One primary tactic provided to aggregators in the Demand Flexibility Marketplace, is that ability to work with Recurve to identify those customers with the highest potential for savings. Aggregators will be encouraged to pursue opportunities with customers whose consumption profiles suggest greater savings potential.</w:t>
      </w:r>
    </w:p>
    <w:p w14:paraId="25D34277" w14:textId="77777777" w:rsidR="008702D1" w:rsidRPr="00EA3B10" w:rsidRDefault="008702D1" w:rsidP="008702D1">
      <w:pPr>
        <w:widowControl/>
        <w:adjustRightInd w:val="0"/>
        <w:rPr>
          <w:rFonts w:asciiTheme="minorHAnsi" w:eastAsiaTheme="minorHAnsi" w:hAnsiTheme="minorHAnsi" w:cs="Times New Roman"/>
          <w:color w:val="343535"/>
        </w:rPr>
      </w:pPr>
    </w:p>
    <w:p w14:paraId="12A9A06F" w14:textId="60A496A7" w:rsidR="003433A3" w:rsidRPr="00EA3B10" w:rsidRDefault="008702D1" w:rsidP="008702D1">
      <w:pPr>
        <w:widowControl/>
        <w:adjustRightInd w:val="0"/>
        <w:rPr>
          <w:rFonts w:asciiTheme="minorHAnsi" w:eastAsiaTheme="minorHAnsi" w:hAnsiTheme="minorHAnsi" w:cs="Times New Roman"/>
          <w:color w:val="343535"/>
        </w:rPr>
      </w:pPr>
      <w:r w:rsidRPr="00EA3B10">
        <w:rPr>
          <w:rFonts w:asciiTheme="minorHAnsi" w:eastAsiaTheme="minorHAnsi" w:hAnsiTheme="minorHAnsi" w:cs="Times New Roman"/>
          <w:color w:val="343535"/>
        </w:rPr>
        <w:t>Utilize the targeting tools available through this marketplace to identify those buildings that offer flexibility opportunities during summer evening ramp, which can result in much more valuable avoided cost savings. Recurve will work with aggregators to identify the attributes of high potential customers to identify targeted groups that are the most likely to have cost-effective outcomes for all parties involved.</w:t>
      </w:r>
    </w:p>
    <w:p w14:paraId="54966D57" w14:textId="6665FD15" w:rsidR="003433A3" w:rsidRPr="00EA3B10" w:rsidRDefault="003433A3" w:rsidP="003433A3">
      <w:pPr>
        <w:widowControl/>
        <w:adjustRightInd w:val="0"/>
        <w:rPr>
          <w:rFonts w:asciiTheme="minorHAnsi" w:eastAsiaTheme="minorHAnsi" w:hAnsiTheme="minorHAnsi" w:cs="Times New Roman"/>
          <w:color w:val="343535"/>
        </w:rPr>
      </w:pPr>
    </w:p>
    <w:p w14:paraId="71AAF85A" w14:textId="33C6231C" w:rsidR="008702D1" w:rsidRPr="00EA3B10" w:rsidRDefault="008702D1" w:rsidP="008702D1">
      <w:pPr>
        <w:widowControl/>
        <w:adjustRightInd w:val="0"/>
        <w:rPr>
          <w:rFonts w:asciiTheme="minorHAnsi" w:eastAsiaTheme="minorHAnsi" w:hAnsiTheme="minorHAnsi" w:cs="Times New Roman"/>
          <w:color w:val="343535"/>
        </w:rPr>
      </w:pPr>
      <w:r w:rsidRPr="00EA3B10">
        <w:rPr>
          <w:rFonts w:asciiTheme="minorHAnsi" w:eastAsiaTheme="minorHAnsi" w:hAnsiTheme="minorHAnsi" w:cs="Times New Roman"/>
          <w:color w:val="343535"/>
        </w:rPr>
        <w:t>For example, an aggregator targeting small business Air Conditioner savings will likely find customers most in need of help, who will have dramatically higher bill savings and grid benefits, if one focuses on those customers with the greatest AC usage during the grid peak periods when savings are worth the most.</w:t>
      </w:r>
    </w:p>
    <w:p w14:paraId="181E7393" w14:textId="634499B4" w:rsidR="008702D1" w:rsidRPr="00EA3B10" w:rsidRDefault="008702D1" w:rsidP="003433A3">
      <w:pPr>
        <w:widowControl/>
        <w:adjustRightInd w:val="0"/>
        <w:rPr>
          <w:rFonts w:asciiTheme="minorHAnsi" w:eastAsiaTheme="minorHAnsi" w:hAnsiTheme="minorHAnsi" w:cs="Times New Roman"/>
          <w:color w:val="343535"/>
        </w:rPr>
      </w:pPr>
    </w:p>
    <w:p w14:paraId="01564A4C" w14:textId="61EB980D" w:rsidR="008702D1" w:rsidRPr="00EA3B10" w:rsidRDefault="008702D1" w:rsidP="008702D1">
      <w:pPr>
        <w:widowControl/>
        <w:adjustRightInd w:val="0"/>
        <w:rPr>
          <w:rFonts w:asciiTheme="minorHAnsi" w:eastAsiaTheme="minorHAnsi" w:hAnsiTheme="minorHAnsi" w:cs="Times New Roman"/>
          <w:color w:val="343535"/>
        </w:rPr>
      </w:pPr>
      <w:r w:rsidRPr="00EA3B10">
        <w:rPr>
          <w:rFonts w:asciiTheme="minorHAnsi" w:eastAsiaTheme="minorHAnsi" w:hAnsiTheme="minorHAnsi" w:cs="Times New Roman"/>
          <w:color w:val="343535"/>
        </w:rPr>
        <w:t>Aggregators also have the flexibility and incentive to optimize their offerings toward the most beneficial mixes of technologies, innovate on customer engagement strategies or automation, in order to maximize adoption and the load shape impacts that come from these projects. Aggregators will be given maximum flexibility to determine their own business models, and customer value propositions.</w:t>
      </w:r>
    </w:p>
    <w:p w14:paraId="2CB57D68" w14:textId="2B88A246" w:rsidR="004E3FE0" w:rsidRPr="00EA3B10" w:rsidRDefault="004E3FE0">
      <w:pPr>
        <w:rPr>
          <w:rFonts w:asciiTheme="minorHAnsi" w:hAnsiTheme="minorHAnsi"/>
          <w:sz w:val="20"/>
        </w:rPr>
        <w:sectPr w:rsidR="004E3FE0" w:rsidRPr="00EA3B10">
          <w:pgSz w:w="12240" w:h="15840"/>
          <w:pgMar w:top="1420" w:right="1320" w:bottom="1000" w:left="1340" w:header="727" w:footer="806" w:gutter="0"/>
          <w:cols w:space="720"/>
        </w:sectPr>
      </w:pPr>
    </w:p>
    <w:p w14:paraId="5D63FE4F" w14:textId="1275FE12" w:rsidR="004E3FE0" w:rsidRPr="00EA3B10" w:rsidRDefault="008702D1" w:rsidP="00EA3B10">
      <w:pPr>
        <w:pStyle w:val="BodyText"/>
        <w:spacing w:before="6" w:after="1"/>
        <w:ind w:left="0"/>
        <w:rPr>
          <w:rFonts w:asciiTheme="minorHAnsi" w:hAnsiTheme="minorHAnsi"/>
          <w:b/>
          <w:bCs/>
        </w:rPr>
      </w:pPr>
      <w:r w:rsidRPr="00EA3B10">
        <w:rPr>
          <w:rFonts w:asciiTheme="minorHAnsi" w:hAnsiTheme="minorHAnsi"/>
          <w:b/>
          <w:bCs/>
        </w:rPr>
        <w:lastRenderedPageBreak/>
        <w:t>Project Performance Tracking with Fleet Manager</w:t>
      </w:r>
    </w:p>
    <w:p w14:paraId="08F79ECC" w14:textId="7EB3B093" w:rsidR="008702D1" w:rsidRPr="00EA3B10" w:rsidRDefault="008702D1" w:rsidP="008702D1">
      <w:pPr>
        <w:widowControl/>
        <w:adjustRightInd w:val="0"/>
        <w:rPr>
          <w:rFonts w:asciiTheme="minorHAnsi" w:eastAsiaTheme="minorHAnsi" w:hAnsiTheme="minorHAnsi" w:cs="Times New Roman"/>
          <w:color w:val="101111"/>
        </w:rPr>
      </w:pPr>
      <w:r w:rsidRPr="00EA3B10">
        <w:rPr>
          <w:rFonts w:asciiTheme="minorHAnsi" w:eastAsiaTheme="minorHAnsi" w:hAnsiTheme="minorHAnsi" w:cs="Times New Roman"/>
          <w:color w:val="101111"/>
        </w:rPr>
        <w:t xml:space="preserve">Upon enrollment and completion of work, project performance will be tracked using Recurve's </w:t>
      </w:r>
      <w:r w:rsidRPr="00EA3B10">
        <w:rPr>
          <w:rFonts w:asciiTheme="minorHAnsi" w:eastAsiaTheme="minorHAnsi" w:hAnsiTheme="minorHAnsi" w:cs="Times New Roman"/>
          <w:color w:val="000000"/>
        </w:rPr>
        <w:t xml:space="preserve">Fleet </w:t>
      </w:r>
      <w:r w:rsidRPr="00EA3B10">
        <w:rPr>
          <w:rFonts w:asciiTheme="minorHAnsi" w:eastAsiaTheme="minorHAnsi" w:hAnsiTheme="minorHAnsi" w:cs="Times New Roman"/>
          <w:color w:val="101111"/>
        </w:rPr>
        <w:t>Manager portal.</w:t>
      </w:r>
    </w:p>
    <w:p w14:paraId="51593557" w14:textId="2DC12086" w:rsidR="00730AD4" w:rsidRPr="00EA3B10" w:rsidRDefault="00730AD4" w:rsidP="00730AD4">
      <w:pPr>
        <w:widowControl/>
        <w:adjustRightInd w:val="0"/>
        <w:rPr>
          <w:rFonts w:asciiTheme="minorHAnsi" w:eastAsiaTheme="minorHAnsi" w:hAnsiTheme="minorHAnsi" w:cs="Times New Roman"/>
          <w:color w:val="101111"/>
        </w:rPr>
      </w:pPr>
    </w:p>
    <w:p w14:paraId="53A0AB0A" w14:textId="4B58ED8A" w:rsidR="008702D1" w:rsidRPr="00EA3B10" w:rsidRDefault="008702D1" w:rsidP="00730AD4">
      <w:pPr>
        <w:widowControl/>
        <w:adjustRightInd w:val="0"/>
        <w:rPr>
          <w:rFonts w:asciiTheme="minorHAnsi" w:eastAsiaTheme="minorHAnsi" w:hAnsiTheme="minorHAnsi" w:cs="Times New Roman"/>
          <w:color w:val="101111"/>
        </w:rPr>
      </w:pPr>
      <w:r w:rsidRPr="00EA3B10">
        <w:rPr>
          <w:rFonts w:asciiTheme="minorHAnsi" w:eastAsiaTheme="minorHAnsi" w:hAnsiTheme="minorHAnsi" w:cs="Times New Roman"/>
          <w:color w:val="101111"/>
        </w:rPr>
        <w:t>Aggregators will be able to enroll new customers, unlock meter-level data access, perform QA/QC of recently completed projects, and</w:t>
      </w:r>
      <w:r w:rsidR="00730AD4" w:rsidRPr="00EA3B10">
        <w:rPr>
          <w:rFonts w:asciiTheme="minorHAnsi" w:eastAsiaTheme="minorHAnsi" w:hAnsiTheme="minorHAnsi" w:cs="Times New Roman"/>
          <w:color w:val="101111"/>
        </w:rPr>
        <w:t xml:space="preserve"> </w:t>
      </w:r>
      <w:r w:rsidRPr="00EA3B10">
        <w:rPr>
          <w:rFonts w:asciiTheme="minorHAnsi" w:eastAsiaTheme="minorHAnsi" w:hAnsiTheme="minorHAnsi" w:cs="Times New Roman"/>
          <w:color w:val="101111"/>
        </w:rPr>
        <w:t xml:space="preserve">track ongoing performance with up-to-date meter-level savings calculations for all projects using the Recurve </w:t>
      </w:r>
      <w:r w:rsidRPr="00EA3B10">
        <w:rPr>
          <w:rFonts w:asciiTheme="minorHAnsi" w:eastAsiaTheme="minorHAnsi" w:hAnsiTheme="minorHAnsi" w:cs="Times New Roman"/>
          <w:color w:val="000000"/>
        </w:rPr>
        <w:t xml:space="preserve">Fleet </w:t>
      </w:r>
      <w:r w:rsidRPr="00EA3B10">
        <w:rPr>
          <w:rFonts w:asciiTheme="minorHAnsi" w:eastAsiaTheme="minorHAnsi" w:hAnsiTheme="minorHAnsi" w:cs="Times New Roman"/>
          <w:color w:val="101111"/>
        </w:rPr>
        <w:t>Manager portal.</w:t>
      </w:r>
    </w:p>
    <w:p w14:paraId="14F23218" w14:textId="292C6BF3" w:rsidR="00730AD4" w:rsidRPr="00EA3B10" w:rsidRDefault="00730AD4" w:rsidP="00730AD4">
      <w:pPr>
        <w:widowControl/>
        <w:adjustRightInd w:val="0"/>
        <w:rPr>
          <w:rFonts w:asciiTheme="minorHAnsi" w:eastAsiaTheme="minorHAnsi" w:hAnsiTheme="minorHAnsi" w:cs="Times New Roman"/>
          <w:color w:val="101111"/>
        </w:rPr>
      </w:pPr>
    </w:p>
    <w:p w14:paraId="69FC521A" w14:textId="49AFE611" w:rsidR="00730AD4" w:rsidRPr="00EA3B10" w:rsidRDefault="00730AD4" w:rsidP="00730AD4">
      <w:pPr>
        <w:widowControl/>
        <w:adjustRightInd w:val="0"/>
        <w:jc w:val="center"/>
        <w:rPr>
          <w:rFonts w:asciiTheme="minorHAnsi" w:eastAsiaTheme="minorHAnsi" w:hAnsiTheme="minorHAnsi" w:cs="Times New Roman"/>
          <w:color w:val="101111"/>
        </w:rPr>
      </w:pPr>
      <w:r w:rsidRPr="00EA3B10">
        <w:rPr>
          <w:rFonts w:asciiTheme="minorHAnsi" w:hAnsiTheme="minorHAnsi"/>
          <w:noProof/>
          <w:sz w:val="20"/>
        </w:rPr>
        <w:drawing>
          <wp:inline distT="0" distB="0" distL="0" distR="0" wp14:anchorId="04F27963" wp14:editId="5B4AB94A">
            <wp:extent cx="5496560" cy="4423144"/>
            <wp:effectExtent l="0" t="0" r="2540" b="0"/>
            <wp:docPr id="17" name="image9.pn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descr="Graphical user interface, text, application&#10;&#10;Description automatically generated"/>
                    <pic:cNvPicPr/>
                  </pic:nvPicPr>
                  <pic:blipFill rotWithShape="1">
                    <a:blip r:embed="rId15" cstate="print"/>
                    <a:srcRect t="16948" r="4719" b="21201"/>
                    <a:stretch/>
                  </pic:blipFill>
                  <pic:spPr bwMode="auto">
                    <a:xfrm>
                      <a:off x="0" y="0"/>
                      <a:ext cx="5496560" cy="4423144"/>
                    </a:xfrm>
                    <a:prstGeom prst="rect">
                      <a:avLst/>
                    </a:prstGeom>
                    <a:ln>
                      <a:noFill/>
                    </a:ln>
                    <a:extLst>
                      <a:ext uri="{53640926-AAD7-44D8-BBD7-CCE9431645EC}">
                        <a14:shadowObscured xmlns:a14="http://schemas.microsoft.com/office/drawing/2010/main"/>
                      </a:ext>
                    </a:extLst>
                  </pic:spPr>
                </pic:pic>
              </a:graphicData>
            </a:graphic>
          </wp:inline>
        </w:drawing>
      </w:r>
    </w:p>
    <w:p w14:paraId="2620486C" w14:textId="6ADAF597" w:rsidR="00730AD4" w:rsidRPr="00EA3B10" w:rsidRDefault="00730AD4" w:rsidP="00730AD4">
      <w:pPr>
        <w:widowControl/>
        <w:adjustRightInd w:val="0"/>
        <w:rPr>
          <w:rFonts w:asciiTheme="minorHAnsi" w:eastAsiaTheme="minorHAnsi" w:hAnsiTheme="minorHAnsi" w:cs="Times New Roman"/>
          <w:color w:val="101111"/>
        </w:rPr>
      </w:pPr>
    </w:p>
    <w:p w14:paraId="6D0C8E46" w14:textId="7E51F092" w:rsidR="00730AD4" w:rsidRPr="00EA3B10" w:rsidRDefault="00730AD4" w:rsidP="00EA3B10">
      <w:pPr>
        <w:pStyle w:val="BodyText"/>
        <w:spacing w:before="6" w:after="1"/>
        <w:ind w:left="0"/>
        <w:rPr>
          <w:rFonts w:asciiTheme="minorHAnsi" w:hAnsiTheme="minorHAnsi"/>
          <w:b/>
          <w:bCs/>
        </w:rPr>
      </w:pPr>
      <w:r w:rsidRPr="00EA3B10">
        <w:rPr>
          <w:rFonts w:asciiTheme="minorHAnsi" w:hAnsiTheme="minorHAnsi"/>
          <w:b/>
          <w:bCs/>
        </w:rPr>
        <w:t>Allocation of Pay for Performance Budgets</w:t>
      </w:r>
    </w:p>
    <w:p w14:paraId="28870D92" w14:textId="68FE466F" w:rsidR="00730AD4" w:rsidRPr="00EA3B10" w:rsidRDefault="00730AD4" w:rsidP="00730AD4">
      <w:pPr>
        <w:widowControl/>
        <w:adjustRightInd w:val="0"/>
        <w:rPr>
          <w:rFonts w:asciiTheme="minorHAnsi" w:eastAsiaTheme="minorHAnsi" w:hAnsiTheme="minorHAnsi" w:cs="Times New Roman"/>
          <w:color w:val="101111"/>
        </w:rPr>
      </w:pPr>
      <w:r w:rsidRPr="00EA3B10">
        <w:rPr>
          <w:rFonts w:asciiTheme="minorHAnsi" w:eastAsiaTheme="minorHAnsi" w:hAnsiTheme="minorHAnsi" w:cs="Times New Roman"/>
          <w:color w:val="101111"/>
        </w:rPr>
        <w:t xml:space="preserve">Available MCE program budgets will determine performance budgets accessible to aggregators. An </w:t>
      </w:r>
      <w:r w:rsidRPr="00EA3B10">
        <w:rPr>
          <w:rFonts w:asciiTheme="minorHAnsi" w:eastAsiaTheme="minorHAnsi" w:hAnsiTheme="minorHAnsi" w:cs="Times New Roman"/>
          <w:color w:val="000000"/>
        </w:rPr>
        <w:t xml:space="preserve">initial </w:t>
      </w:r>
      <w:r w:rsidRPr="00EA3B10">
        <w:rPr>
          <w:rFonts w:asciiTheme="minorHAnsi" w:eastAsiaTheme="minorHAnsi" w:hAnsiTheme="minorHAnsi" w:cs="Times New Roman"/>
          <w:color w:val="101111"/>
        </w:rPr>
        <w:t>tranche of funding will be made available to approved aggregators. Once this allocation is exhausted, the aggregator will become eligible to draw from the shared incentive pool until it is depleted.</w:t>
      </w:r>
    </w:p>
    <w:p w14:paraId="7DE0F6E6" w14:textId="3A6CC8F2" w:rsidR="00730AD4" w:rsidRPr="00EA3B10" w:rsidRDefault="00730AD4" w:rsidP="00730AD4">
      <w:pPr>
        <w:widowControl/>
        <w:adjustRightInd w:val="0"/>
        <w:rPr>
          <w:rFonts w:asciiTheme="minorHAnsi" w:eastAsiaTheme="minorHAnsi" w:hAnsiTheme="minorHAnsi" w:cs="Times New Roman"/>
          <w:color w:val="101111"/>
        </w:rPr>
      </w:pPr>
    </w:p>
    <w:p w14:paraId="7A65BB43" w14:textId="5D17F3DA" w:rsidR="00730AD4" w:rsidRPr="00EA3B10" w:rsidRDefault="00730AD4" w:rsidP="00730AD4">
      <w:pPr>
        <w:widowControl/>
        <w:adjustRightInd w:val="0"/>
        <w:rPr>
          <w:rFonts w:asciiTheme="minorHAnsi" w:hAnsiTheme="minorHAnsi"/>
          <w:b/>
          <w:bCs/>
          <w:sz w:val="24"/>
          <w:szCs w:val="24"/>
        </w:rPr>
      </w:pPr>
      <w:r w:rsidRPr="00EA3B10">
        <w:rPr>
          <w:rFonts w:asciiTheme="minorHAnsi" w:hAnsiTheme="minorHAnsi"/>
          <w:b/>
          <w:bCs/>
          <w:sz w:val="24"/>
          <w:szCs w:val="24"/>
        </w:rPr>
        <w:t>Project Enrollment Process</w:t>
      </w:r>
    </w:p>
    <w:p w14:paraId="53A470BA" w14:textId="77777777" w:rsidR="00730AD4" w:rsidRPr="00EA3B10" w:rsidRDefault="00730AD4" w:rsidP="00EA3B10">
      <w:pPr>
        <w:widowControl/>
        <w:adjustRightInd w:val="0"/>
        <w:spacing w:after="120"/>
        <w:ind w:left="720"/>
        <w:rPr>
          <w:rFonts w:asciiTheme="minorHAnsi" w:eastAsiaTheme="minorHAnsi" w:hAnsiTheme="minorHAnsi" w:cs="Times New Roman"/>
          <w:color w:val="343636"/>
        </w:rPr>
      </w:pPr>
      <w:r w:rsidRPr="00EA3B10">
        <w:rPr>
          <w:rFonts w:asciiTheme="minorHAnsi" w:eastAsiaTheme="minorHAnsi" w:hAnsiTheme="minorHAnsi" w:cs="Times New Roman"/>
          <w:color w:val="343636"/>
        </w:rPr>
        <w:t>1. Check project eligibility by inputting details into the Project Enrollment tab of the Aggregator Portal.</w:t>
      </w:r>
    </w:p>
    <w:p w14:paraId="66856E94" w14:textId="77777777" w:rsidR="00730AD4" w:rsidRPr="00EA3B10" w:rsidRDefault="00730AD4" w:rsidP="00EA3B10">
      <w:pPr>
        <w:widowControl/>
        <w:adjustRightInd w:val="0"/>
        <w:spacing w:after="120"/>
        <w:ind w:left="720"/>
        <w:rPr>
          <w:rFonts w:asciiTheme="minorHAnsi" w:eastAsiaTheme="minorHAnsi" w:hAnsiTheme="minorHAnsi" w:cs="Times New Roman"/>
          <w:color w:val="4E4F4E"/>
        </w:rPr>
      </w:pPr>
      <w:r w:rsidRPr="00EA3B10">
        <w:rPr>
          <w:rFonts w:asciiTheme="minorHAnsi" w:eastAsiaTheme="minorHAnsi" w:hAnsiTheme="minorHAnsi" w:cs="Times New Roman"/>
          <w:color w:val="343636"/>
        </w:rPr>
        <w:t xml:space="preserve">2. Recurve will verify the project is eligible and email confirmation </w:t>
      </w:r>
      <w:r w:rsidRPr="00EA3B10">
        <w:rPr>
          <w:rFonts w:asciiTheme="minorHAnsi" w:eastAsiaTheme="minorHAnsi" w:hAnsiTheme="minorHAnsi" w:cs="Times New Roman"/>
          <w:color w:val="4E4F4E"/>
        </w:rPr>
        <w:t xml:space="preserve">within one </w:t>
      </w:r>
      <w:r w:rsidRPr="00EA3B10">
        <w:rPr>
          <w:rFonts w:asciiTheme="minorHAnsi" w:eastAsiaTheme="minorHAnsi" w:hAnsiTheme="minorHAnsi" w:cs="Times New Roman"/>
          <w:color w:val="343636"/>
        </w:rPr>
        <w:t xml:space="preserve">business </w:t>
      </w:r>
      <w:r w:rsidRPr="00EA3B10">
        <w:rPr>
          <w:rFonts w:asciiTheme="minorHAnsi" w:eastAsiaTheme="minorHAnsi" w:hAnsiTheme="minorHAnsi" w:cs="Times New Roman"/>
          <w:color w:val="4E4F4E"/>
        </w:rPr>
        <w:t>day.</w:t>
      </w:r>
    </w:p>
    <w:p w14:paraId="27F009E5" w14:textId="77777777" w:rsidR="00730AD4" w:rsidRPr="00EA3B10" w:rsidRDefault="00730AD4" w:rsidP="00EA3B10">
      <w:pPr>
        <w:widowControl/>
        <w:adjustRightInd w:val="0"/>
        <w:spacing w:after="120"/>
        <w:ind w:left="720"/>
        <w:rPr>
          <w:rFonts w:asciiTheme="minorHAnsi" w:eastAsiaTheme="minorHAnsi" w:hAnsiTheme="minorHAnsi" w:cs="Times New Roman"/>
          <w:color w:val="343636"/>
        </w:rPr>
      </w:pPr>
      <w:r w:rsidRPr="00EA3B10">
        <w:rPr>
          <w:rFonts w:asciiTheme="minorHAnsi" w:eastAsiaTheme="minorHAnsi" w:hAnsiTheme="minorHAnsi" w:cs="Times New Roman"/>
          <w:color w:val="343636"/>
        </w:rPr>
        <w:t>3. Sign contract with customer, provide Recurve with required project documentation.</w:t>
      </w:r>
    </w:p>
    <w:p w14:paraId="3EB85FC5" w14:textId="77777777" w:rsidR="00730AD4" w:rsidRPr="00EA3B10" w:rsidRDefault="00730AD4" w:rsidP="00EA3B10">
      <w:pPr>
        <w:widowControl/>
        <w:adjustRightInd w:val="0"/>
        <w:spacing w:after="120"/>
        <w:ind w:left="720"/>
        <w:rPr>
          <w:rFonts w:asciiTheme="minorHAnsi" w:eastAsiaTheme="minorHAnsi" w:hAnsiTheme="minorHAnsi" w:cs="Times New Roman"/>
          <w:color w:val="343636"/>
        </w:rPr>
      </w:pPr>
      <w:r w:rsidRPr="00EA3B10">
        <w:rPr>
          <w:rFonts w:asciiTheme="minorHAnsi" w:eastAsiaTheme="minorHAnsi" w:hAnsiTheme="minorHAnsi" w:cs="Times New Roman"/>
          <w:color w:val="343636"/>
        </w:rPr>
        <w:t xml:space="preserve">4. </w:t>
      </w:r>
      <w:r w:rsidRPr="00EA3B10">
        <w:rPr>
          <w:rFonts w:asciiTheme="minorHAnsi" w:eastAsiaTheme="minorHAnsi" w:hAnsiTheme="minorHAnsi" w:cs="Times New Roman"/>
          <w:color w:val="212222"/>
        </w:rPr>
        <w:t xml:space="preserve">Install </w:t>
      </w:r>
      <w:r w:rsidRPr="00EA3B10">
        <w:rPr>
          <w:rFonts w:asciiTheme="minorHAnsi" w:eastAsiaTheme="minorHAnsi" w:hAnsiTheme="minorHAnsi" w:cs="Times New Roman"/>
          <w:color w:val="343636"/>
        </w:rPr>
        <w:t>measures and track savings using Fleet Manager.</w:t>
      </w:r>
    </w:p>
    <w:p w14:paraId="03A2A8E3" w14:textId="2AE38632" w:rsidR="00730AD4" w:rsidRPr="00EA3B10" w:rsidRDefault="00730AD4" w:rsidP="00EA3B10">
      <w:pPr>
        <w:widowControl/>
        <w:adjustRightInd w:val="0"/>
        <w:spacing w:after="120"/>
        <w:ind w:left="720"/>
        <w:rPr>
          <w:rFonts w:asciiTheme="minorHAnsi" w:eastAsiaTheme="minorHAnsi" w:hAnsiTheme="minorHAnsi" w:cs="Times New Roman"/>
          <w:color w:val="343636"/>
        </w:rPr>
      </w:pPr>
      <w:r w:rsidRPr="00EA3B10">
        <w:rPr>
          <w:rFonts w:asciiTheme="minorHAnsi" w:eastAsiaTheme="minorHAnsi" w:hAnsiTheme="minorHAnsi" w:cs="Times New Roman"/>
          <w:color w:val="343636"/>
        </w:rPr>
        <w:lastRenderedPageBreak/>
        <w:t xml:space="preserve">5. After tracking 12 months of savings data, Recurve will calculate aggregator payment values according the </w:t>
      </w:r>
      <w:proofErr w:type="spellStart"/>
      <w:r w:rsidRPr="00EA3B10">
        <w:rPr>
          <w:rFonts w:asciiTheme="minorHAnsi" w:eastAsiaTheme="minorHAnsi" w:hAnsiTheme="minorHAnsi" w:cs="Times New Roman"/>
          <w:color w:val="343636"/>
        </w:rPr>
        <w:t>the</w:t>
      </w:r>
      <w:proofErr w:type="spellEnd"/>
      <w:r w:rsidRPr="00EA3B10">
        <w:rPr>
          <w:rFonts w:asciiTheme="minorHAnsi" w:eastAsiaTheme="minorHAnsi" w:hAnsiTheme="minorHAnsi" w:cs="Times New Roman"/>
          <w:color w:val="343636"/>
        </w:rPr>
        <w:t xml:space="preserve"> </w:t>
      </w:r>
      <w:r w:rsidRPr="00EA3B10">
        <w:rPr>
          <w:rFonts w:asciiTheme="minorHAnsi" w:eastAsiaTheme="minorHAnsi" w:hAnsiTheme="minorHAnsi" w:cs="Times New Roman"/>
          <w:color w:val="212222"/>
        </w:rPr>
        <w:t xml:space="preserve">FPA </w:t>
      </w:r>
      <w:r w:rsidRPr="00EA3B10">
        <w:rPr>
          <w:rFonts w:asciiTheme="minorHAnsi" w:eastAsiaTheme="minorHAnsi" w:hAnsiTheme="minorHAnsi" w:cs="Times New Roman"/>
          <w:color w:val="343636"/>
        </w:rPr>
        <w:t>and issue a payment recommendation to MCE.</w:t>
      </w:r>
    </w:p>
    <w:p w14:paraId="7AF2D625" w14:textId="1235AFC2" w:rsidR="00730AD4" w:rsidRPr="00EA3B10" w:rsidRDefault="00730AD4" w:rsidP="00EA3B10">
      <w:pPr>
        <w:widowControl/>
        <w:adjustRightInd w:val="0"/>
        <w:spacing w:after="120"/>
        <w:ind w:left="720"/>
        <w:rPr>
          <w:rFonts w:asciiTheme="minorHAnsi" w:eastAsiaTheme="minorHAnsi" w:hAnsiTheme="minorHAnsi" w:cs="Times New Roman"/>
          <w:color w:val="101111"/>
        </w:rPr>
      </w:pPr>
      <w:r w:rsidRPr="00EA3B10">
        <w:rPr>
          <w:rFonts w:asciiTheme="minorHAnsi" w:eastAsiaTheme="minorHAnsi" w:hAnsiTheme="minorHAnsi" w:cs="Times New Roman"/>
          <w:color w:val="343636"/>
        </w:rPr>
        <w:t>6. MCE issues payment for value of savings generated.</w:t>
      </w:r>
    </w:p>
    <w:p w14:paraId="2DF9F8A1" w14:textId="1BAD0AD4" w:rsidR="008702D1" w:rsidRPr="00EA3B10" w:rsidRDefault="00730AD4" w:rsidP="00EA3B10">
      <w:pPr>
        <w:widowControl/>
        <w:adjustRightInd w:val="0"/>
        <w:rPr>
          <w:rFonts w:asciiTheme="minorHAnsi" w:hAnsiTheme="minorHAnsi"/>
          <w:b/>
          <w:bCs/>
          <w:sz w:val="24"/>
          <w:szCs w:val="24"/>
        </w:rPr>
      </w:pPr>
      <w:r w:rsidRPr="00EA3B10">
        <w:rPr>
          <w:rFonts w:asciiTheme="minorHAnsi" w:hAnsiTheme="minorHAnsi"/>
          <w:b/>
          <w:bCs/>
          <w:sz w:val="24"/>
          <w:szCs w:val="24"/>
        </w:rPr>
        <w:t>Project Eligibility</w:t>
      </w:r>
    </w:p>
    <w:p w14:paraId="4182028B" w14:textId="2D3CE77E" w:rsidR="00730AD4" w:rsidRPr="00EA3B10" w:rsidRDefault="00730AD4" w:rsidP="00730AD4">
      <w:pPr>
        <w:widowControl/>
        <w:adjustRightInd w:val="0"/>
        <w:spacing w:after="120"/>
        <w:rPr>
          <w:rFonts w:asciiTheme="minorHAnsi" w:eastAsiaTheme="minorHAnsi" w:hAnsiTheme="minorHAnsi" w:cs="Times New Roman"/>
          <w:color w:val="0F0F0F"/>
        </w:rPr>
      </w:pPr>
      <w:r w:rsidRPr="00EA3B10">
        <w:rPr>
          <w:rFonts w:asciiTheme="minorHAnsi" w:eastAsiaTheme="minorHAnsi" w:hAnsiTheme="minorHAnsi" w:cs="Times New Roman"/>
          <w:color w:val="0F0F0F"/>
        </w:rPr>
        <w:t>The MCE Demand Flexibility Marketplace is agnostic to measures and business models; however, the expected useful life of the measures being implemented will affect the magnitude of the FPA rate.</w:t>
      </w:r>
    </w:p>
    <w:p w14:paraId="33A85AC6" w14:textId="77777777" w:rsidR="00730AD4" w:rsidRPr="00EA3B10" w:rsidRDefault="00730AD4" w:rsidP="00730AD4">
      <w:pPr>
        <w:widowControl/>
        <w:adjustRightInd w:val="0"/>
        <w:spacing w:after="120"/>
        <w:rPr>
          <w:rFonts w:asciiTheme="minorHAnsi" w:eastAsiaTheme="minorHAnsi" w:hAnsiTheme="minorHAnsi" w:cs="Times New Roman"/>
          <w:color w:val="0F0F0F"/>
        </w:rPr>
      </w:pPr>
      <w:r w:rsidRPr="00EA3B10">
        <w:rPr>
          <w:rFonts w:asciiTheme="minorHAnsi" w:eastAsiaTheme="minorHAnsi" w:hAnsiTheme="minorHAnsi" w:cs="Times New Roman"/>
          <w:color w:val="0F0F0F"/>
        </w:rPr>
        <w:t>Eligibility requirements include:</w:t>
      </w:r>
    </w:p>
    <w:p w14:paraId="5CAF3452" w14:textId="77777777" w:rsidR="00730AD4" w:rsidRPr="00EA3B10" w:rsidRDefault="00730AD4" w:rsidP="00730AD4">
      <w:pPr>
        <w:widowControl/>
        <w:adjustRightInd w:val="0"/>
        <w:spacing w:after="120"/>
        <w:ind w:left="720"/>
        <w:rPr>
          <w:rFonts w:asciiTheme="minorHAnsi" w:eastAsiaTheme="minorHAnsi" w:hAnsiTheme="minorHAnsi" w:cs="Times New Roman"/>
          <w:color w:val="0F0F0F"/>
        </w:rPr>
      </w:pPr>
      <w:r w:rsidRPr="00EA3B10">
        <w:rPr>
          <w:rFonts w:asciiTheme="minorHAnsi" w:eastAsiaTheme="minorHAnsi" w:hAnsiTheme="minorHAnsi" w:cs="Times New Roman"/>
          <w:color w:val="212222"/>
        </w:rPr>
        <w:t xml:space="preserve">• </w:t>
      </w:r>
      <w:r w:rsidRPr="00EA3B10">
        <w:rPr>
          <w:rFonts w:asciiTheme="minorHAnsi" w:eastAsiaTheme="minorHAnsi" w:hAnsiTheme="minorHAnsi" w:cs="Times New Roman"/>
          <w:color w:val="0F0F0F"/>
        </w:rPr>
        <w:t>Not currently participating in a CPUC-funded downstream program.</w:t>
      </w:r>
    </w:p>
    <w:p w14:paraId="1BE7C095" w14:textId="73856FEC" w:rsidR="00730AD4" w:rsidRPr="00EA3B10" w:rsidRDefault="00730AD4" w:rsidP="00730AD4">
      <w:pPr>
        <w:widowControl/>
        <w:adjustRightInd w:val="0"/>
        <w:spacing w:after="120"/>
        <w:ind w:left="720"/>
        <w:rPr>
          <w:rFonts w:asciiTheme="minorHAnsi" w:eastAsiaTheme="minorHAnsi" w:hAnsiTheme="minorHAnsi" w:cs="Times New Roman"/>
          <w:color w:val="0F0F0F"/>
        </w:rPr>
      </w:pPr>
      <w:r w:rsidRPr="00EA3B10">
        <w:rPr>
          <w:rFonts w:asciiTheme="minorHAnsi" w:eastAsiaTheme="minorHAnsi" w:hAnsiTheme="minorHAnsi" w:cs="Times New Roman"/>
          <w:color w:val="212222"/>
        </w:rPr>
        <w:t xml:space="preserve">• </w:t>
      </w:r>
      <w:r w:rsidRPr="00EA3B10">
        <w:rPr>
          <w:rFonts w:asciiTheme="minorHAnsi" w:eastAsiaTheme="minorHAnsi" w:hAnsiTheme="minorHAnsi" w:cs="Times New Roman"/>
          <w:color w:val="0F0F0F"/>
        </w:rPr>
        <w:t xml:space="preserve">Project </w:t>
      </w:r>
      <w:r w:rsidRPr="00EA3B10">
        <w:rPr>
          <w:rFonts w:asciiTheme="minorHAnsi" w:eastAsiaTheme="minorHAnsi" w:hAnsiTheme="minorHAnsi" w:cs="Times New Roman"/>
          <w:color w:val="212222"/>
        </w:rPr>
        <w:t xml:space="preserve">site </w:t>
      </w:r>
      <w:r w:rsidRPr="00EA3B10">
        <w:rPr>
          <w:rFonts w:asciiTheme="minorHAnsi" w:eastAsiaTheme="minorHAnsi" w:hAnsiTheme="minorHAnsi" w:cs="Times New Roman"/>
          <w:color w:val="0F0F0F"/>
        </w:rPr>
        <w:t xml:space="preserve">must be located in PG&amp;E and/or MCE service area, and receive electric distribution service from MCE or PG&amp;E and natural </w:t>
      </w:r>
      <w:r w:rsidRPr="00EA3B10">
        <w:rPr>
          <w:rFonts w:asciiTheme="minorHAnsi" w:eastAsiaTheme="minorHAnsi" w:hAnsiTheme="minorHAnsi" w:cs="Times New Roman"/>
          <w:color w:val="212222"/>
        </w:rPr>
        <w:t xml:space="preserve">gas service </w:t>
      </w:r>
      <w:r w:rsidRPr="00EA3B10">
        <w:rPr>
          <w:rFonts w:asciiTheme="minorHAnsi" w:eastAsiaTheme="minorHAnsi" w:hAnsiTheme="minorHAnsi" w:cs="Times New Roman"/>
          <w:color w:val="0F0F0F"/>
        </w:rPr>
        <w:t>from PG&amp;E.</w:t>
      </w:r>
    </w:p>
    <w:p w14:paraId="24D3D11F" w14:textId="77777777" w:rsidR="00730AD4" w:rsidRPr="00EA3B10" w:rsidRDefault="00730AD4" w:rsidP="00730AD4">
      <w:pPr>
        <w:widowControl/>
        <w:adjustRightInd w:val="0"/>
        <w:spacing w:after="120"/>
        <w:ind w:left="720"/>
        <w:rPr>
          <w:rFonts w:asciiTheme="minorHAnsi" w:eastAsiaTheme="minorHAnsi" w:hAnsiTheme="minorHAnsi" w:cs="Times New Roman"/>
          <w:color w:val="0F0F0F"/>
        </w:rPr>
      </w:pPr>
      <w:r w:rsidRPr="00EA3B10">
        <w:rPr>
          <w:rFonts w:asciiTheme="minorHAnsi" w:eastAsiaTheme="minorHAnsi" w:hAnsiTheme="minorHAnsi" w:cs="Times New Roman"/>
          <w:color w:val="212222"/>
        </w:rPr>
        <w:t xml:space="preserve">• </w:t>
      </w:r>
      <w:r w:rsidRPr="00EA3B10">
        <w:rPr>
          <w:rFonts w:asciiTheme="minorHAnsi" w:eastAsiaTheme="minorHAnsi" w:hAnsiTheme="minorHAnsi" w:cs="Times New Roman"/>
          <w:color w:val="0F0F0F"/>
        </w:rPr>
        <w:t>12 consecutive months of energy usage data.</w:t>
      </w:r>
    </w:p>
    <w:p w14:paraId="6D0A668E" w14:textId="77777777" w:rsidR="00730AD4" w:rsidRPr="00EA3B10" w:rsidRDefault="00730AD4" w:rsidP="00730AD4">
      <w:pPr>
        <w:widowControl/>
        <w:adjustRightInd w:val="0"/>
        <w:spacing w:after="120"/>
        <w:ind w:left="720"/>
        <w:rPr>
          <w:rFonts w:asciiTheme="minorHAnsi" w:eastAsiaTheme="minorHAnsi" w:hAnsiTheme="minorHAnsi" w:cs="Times New Roman"/>
          <w:color w:val="0F0F0F"/>
        </w:rPr>
      </w:pPr>
      <w:r w:rsidRPr="00EA3B10">
        <w:rPr>
          <w:rFonts w:asciiTheme="minorHAnsi" w:eastAsiaTheme="minorHAnsi" w:hAnsiTheme="minorHAnsi" w:cs="Times New Roman"/>
          <w:color w:val="212222"/>
        </w:rPr>
        <w:t xml:space="preserve">• </w:t>
      </w:r>
      <w:r w:rsidRPr="00EA3B10">
        <w:rPr>
          <w:rFonts w:asciiTheme="minorHAnsi" w:eastAsiaTheme="minorHAnsi" w:hAnsiTheme="minorHAnsi" w:cs="Times New Roman"/>
          <w:color w:val="0F0F0F"/>
        </w:rPr>
        <w:t>If solar, installation must have been completed at least 12 months prior to intervention.</w:t>
      </w:r>
    </w:p>
    <w:p w14:paraId="5885153F" w14:textId="430D3CB0" w:rsidR="00730AD4" w:rsidRPr="00EA3B10" w:rsidRDefault="00730AD4" w:rsidP="00730AD4">
      <w:pPr>
        <w:spacing w:after="120"/>
        <w:ind w:left="720"/>
        <w:rPr>
          <w:rFonts w:asciiTheme="minorHAnsi" w:hAnsiTheme="minorHAnsi"/>
        </w:rPr>
      </w:pPr>
      <w:r w:rsidRPr="00EA3B10">
        <w:rPr>
          <w:rFonts w:asciiTheme="minorHAnsi" w:eastAsiaTheme="minorHAnsi" w:hAnsiTheme="minorHAnsi" w:cs="Times New Roman"/>
          <w:color w:val="212222"/>
        </w:rPr>
        <w:t xml:space="preserve">• </w:t>
      </w:r>
      <w:r w:rsidRPr="00EA3B10">
        <w:rPr>
          <w:rFonts w:asciiTheme="minorHAnsi" w:eastAsiaTheme="minorHAnsi" w:hAnsiTheme="minorHAnsi" w:cs="Times New Roman"/>
          <w:color w:val="0F0F0F"/>
        </w:rPr>
        <w:t>Model fit needs to be&lt; 1.0 CVRMSE (Recurve will conduct analysis at intake).</w:t>
      </w:r>
    </w:p>
    <w:p w14:paraId="229E0B14" w14:textId="71A6409E" w:rsidR="00730AD4" w:rsidRPr="00EA3B10" w:rsidRDefault="00730AD4">
      <w:pPr>
        <w:rPr>
          <w:rFonts w:asciiTheme="minorHAnsi" w:hAnsiTheme="minorHAnsi"/>
        </w:rPr>
      </w:pPr>
    </w:p>
    <w:p w14:paraId="1209DA92" w14:textId="0851A1DC" w:rsidR="00730AD4" w:rsidRPr="00EA3B10" w:rsidRDefault="00730AD4" w:rsidP="00EA3B10">
      <w:pPr>
        <w:widowControl/>
        <w:adjustRightInd w:val="0"/>
        <w:rPr>
          <w:rFonts w:asciiTheme="minorHAnsi" w:hAnsiTheme="minorHAnsi"/>
          <w:b/>
          <w:bCs/>
          <w:sz w:val="24"/>
          <w:szCs w:val="24"/>
        </w:rPr>
      </w:pPr>
      <w:r w:rsidRPr="00EA3B10">
        <w:rPr>
          <w:rFonts w:asciiTheme="minorHAnsi" w:hAnsiTheme="minorHAnsi"/>
          <w:b/>
          <w:bCs/>
          <w:sz w:val="24"/>
          <w:szCs w:val="24"/>
        </w:rPr>
        <w:t>Tracking FPA Value for Payment with Flex Ledger</w:t>
      </w:r>
    </w:p>
    <w:p w14:paraId="7831BEDE" w14:textId="6ACBFF1B" w:rsidR="00730AD4" w:rsidRPr="00EA3B10" w:rsidRDefault="00730AD4" w:rsidP="00730AD4">
      <w:pPr>
        <w:widowControl/>
        <w:adjustRightInd w:val="0"/>
        <w:rPr>
          <w:rFonts w:asciiTheme="minorHAnsi" w:eastAsiaTheme="minorHAnsi" w:hAnsiTheme="minorHAnsi" w:cs="Times New Roman"/>
          <w:color w:val="0F0F0F"/>
        </w:rPr>
      </w:pPr>
      <w:r w:rsidRPr="00EA3B10">
        <w:rPr>
          <w:rFonts w:asciiTheme="minorHAnsi" w:eastAsiaTheme="minorHAnsi" w:hAnsiTheme="minorHAnsi" w:cs="Times New Roman"/>
          <w:color w:val="0F0F0F"/>
        </w:rPr>
        <w:t xml:space="preserve">The Recurve Flex Ledger provides revenue-grade auditable accounting of demand flexibility portfolios to enable Marketplace payments issued to aggregators, as well as </w:t>
      </w:r>
      <w:r w:rsidRPr="00EA3B10">
        <w:rPr>
          <w:rFonts w:asciiTheme="minorHAnsi" w:eastAsiaTheme="minorHAnsi" w:hAnsiTheme="minorHAnsi" w:cs="Times New Roman"/>
          <w:color w:val="212222"/>
        </w:rPr>
        <w:t xml:space="preserve">savings </w:t>
      </w:r>
      <w:r w:rsidRPr="00EA3B10">
        <w:rPr>
          <w:rFonts w:asciiTheme="minorHAnsi" w:eastAsiaTheme="minorHAnsi" w:hAnsiTheme="minorHAnsi" w:cs="Times New Roman"/>
          <w:color w:val="0F0F0F"/>
        </w:rPr>
        <w:t>claims, and procurement reporting.</w:t>
      </w:r>
    </w:p>
    <w:p w14:paraId="0573264B" w14:textId="77777777" w:rsidR="00730AD4" w:rsidRPr="00EA3B10" w:rsidRDefault="00730AD4" w:rsidP="00730AD4">
      <w:pPr>
        <w:widowControl/>
        <w:adjustRightInd w:val="0"/>
        <w:rPr>
          <w:rFonts w:asciiTheme="minorHAnsi" w:eastAsiaTheme="minorHAnsi" w:hAnsiTheme="minorHAnsi" w:cs="Times New Roman"/>
          <w:color w:val="0F0F0F"/>
        </w:rPr>
      </w:pPr>
    </w:p>
    <w:p w14:paraId="3EBB3CEE" w14:textId="705F14F8" w:rsidR="00730AD4" w:rsidRPr="00EA3B10" w:rsidRDefault="00730AD4" w:rsidP="00730AD4">
      <w:pPr>
        <w:widowControl/>
        <w:adjustRightInd w:val="0"/>
        <w:rPr>
          <w:rFonts w:asciiTheme="minorHAnsi" w:eastAsiaTheme="minorHAnsi" w:hAnsiTheme="minorHAnsi" w:cs="Times New Roman"/>
          <w:color w:val="0F0F0F"/>
        </w:rPr>
      </w:pPr>
      <w:r w:rsidRPr="00EA3B10">
        <w:rPr>
          <w:rFonts w:asciiTheme="minorHAnsi" w:eastAsiaTheme="minorHAnsi" w:hAnsiTheme="minorHAnsi" w:cs="Times New Roman"/>
          <w:color w:val="0F0F0F"/>
        </w:rPr>
        <w:t xml:space="preserve">Similar to an accounting system, the Flex Ledger provides an end-to-end system of record for registering contract requirements, valuing metered </w:t>
      </w:r>
      <w:r w:rsidRPr="00EA3B10">
        <w:rPr>
          <w:rFonts w:asciiTheme="minorHAnsi" w:eastAsiaTheme="minorHAnsi" w:hAnsiTheme="minorHAnsi" w:cs="Times New Roman"/>
          <w:color w:val="212222"/>
        </w:rPr>
        <w:t xml:space="preserve">savings, </w:t>
      </w:r>
      <w:r w:rsidRPr="00EA3B10">
        <w:rPr>
          <w:rFonts w:asciiTheme="minorHAnsi" w:eastAsiaTheme="minorHAnsi" w:hAnsiTheme="minorHAnsi" w:cs="Times New Roman"/>
          <w:color w:val="0F0F0F"/>
        </w:rPr>
        <w:t xml:space="preserve">creating invoices, managing payments, and reporting </w:t>
      </w:r>
      <w:r w:rsidRPr="00EA3B10">
        <w:rPr>
          <w:rFonts w:asciiTheme="minorHAnsi" w:eastAsiaTheme="minorHAnsi" w:hAnsiTheme="minorHAnsi" w:cs="Times New Roman"/>
          <w:color w:val="212222"/>
        </w:rPr>
        <w:t xml:space="preserve">savings </w:t>
      </w:r>
      <w:r w:rsidRPr="00EA3B10">
        <w:rPr>
          <w:rFonts w:asciiTheme="minorHAnsi" w:eastAsiaTheme="minorHAnsi" w:hAnsiTheme="minorHAnsi" w:cs="Times New Roman"/>
          <w:color w:val="0F0F0F"/>
        </w:rPr>
        <w:t>to regulators, all backed by a fully auditable trail of all transactions and calculations down to the individual meter.</w:t>
      </w:r>
    </w:p>
    <w:p w14:paraId="0AB45E6A" w14:textId="4496C6C6" w:rsidR="00730AD4" w:rsidRPr="00EA3B10" w:rsidRDefault="00730AD4" w:rsidP="00730AD4">
      <w:pPr>
        <w:widowControl/>
        <w:adjustRightInd w:val="0"/>
        <w:rPr>
          <w:rFonts w:asciiTheme="minorHAnsi" w:eastAsiaTheme="minorHAnsi" w:hAnsiTheme="minorHAnsi" w:cs="Times New Roman"/>
          <w:color w:val="0F0F0F"/>
        </w:rPr>
      </w:pPr>
    </w:p>
    <w:p w14:paraId="67547198" w14:textId="0F5E32E3" w:rsidR="00730AD4" w:rsidRPr="00EA3B10" w:rsidRDefault="00730AD4" w:rsidP="00730AD4">
      <w:pPr>
        <w:widowControl/>
        <w:adjustRightInd w:val="0"/>
        <w:rPr>
          <w:rFonts w:asciiTheme="minorHAnsi" w:eastAsiaTheme="minorHAnsi" w:hAnsiTheme="minorHAnsi" w:cs="Times New Roman"/>
          <w:color w:val="0F0F0F"/>
        </w:rPr>
      </w:pPr>
      <w:r w:rsidRPr="00EA3B10">
        <w:rPr>
          <w:rFonts w:asciiTheme="minorHAnsi" w:hAnsiTheme="minorHAnsi"/>
          <w:noProof/>
          <w:sz w:val="20"/>
        </w:rPr>
        <w:drawing>
          <wp:inline distT="0" distB="0" distL="0" distR="0" wp14:anchorId="0B9CE4B9" wp14:editId="55894D10">
            <wp:extent cx="5937006" cy="1793743"/>
            <wp:effectExtent l="0" t="0" r="0" b="0"/>
            <wp:docPr id="14" name="image10.pn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descr="Graphical user interface, text, application, email&#10;&#10;Description automatically generated"/>
                    <pic:cNvPicPr/>
                  </pic:nvPicPr>
                  <pic:blipFill rotWithShape="1">
                    <a:blip r:embed="rId16" cstate="print"/>
                    <a:srcRect t="77495"/>
                    <a:stretch/>
                  </pic:blipFill>
                  <pic:spPr bwMode="auto">
                    <a:xfrm>
                      <a:off x="0" y="0"/>
                      <a:ext cx="5937970" cy="1794034"/>
                    </a:xfrm>
                    <a:prstGeom prst="rect">
                      <a:avLst/>
                    </a:prstGeom>
                    <a:ln>
                      <a:noFill/>
                    </a:ln>
                    <a:extLst>
                      <a:ext uri="{53640926-AAD7-44D8-BBD7-CCE9431645EC}">
                        <a14:shadowObscured xmlns:a14="http://schemas.microsoft.com/office/drawing/2010/main"/>
                      </a:ext>
                    </a:extLst>
                  </pic:spPr>
                </pic:pic>
              </a:graphicData>
            </a:graphic>
          </wp:inline>
        </w:drawing>
      </w:r>
    </w:p>
    <w:p w14:paraId="33CA3576" w14:textId="77777777" w:rsidR="00EA3B10" w:rsidRDefault="00EA3B10" w:rsidP="00EA3B10">
      <w:pPr>
        <w:widowControl/>
        <w:adjustRightInd w:val="0"/>
        <w:rPr>
          <w:rFonts w:asciiTheme="minorHAnsi" w:hAnsiTheme="minorHAnsi"/>
          <w:b/>
          <w:bCs/>
          <w:sz w:val="24"/>
          <w:szCs w:val="24"/>
        </w:rPr>
      </w:pPr>
    </w:p>
    <w:p w14:paraId="083ED517" w14:textId="417800F9" w:rsidR="00730AD4" w:rsidRPr="00EA3B10" w:rsidRDefault="00730AD4" w:rsidP="00EA3B10">
      <w:pPr>
        <w:keepNext/>
        <w:widowControl/>
        <w:adjustRightInd w:val="0"/>
        <w:rPr>
          <w:rFonts w:asciiTheme="minorHAnsi" w:hAnsiTheme="minorHAnsi"/>
          <w:b/>
          <w:bCs/>
          <w:sz w:val="24"/>
          <w:szCs w:val="24"/>
        </w:rPr>
      </w:pPr>
      <w:r w:rsidRPr="00EA3B10">
        <w:rPr>
          <w:rFonts w:asciiTheme="minorHAnsi" w:hAnsiTheme="minorHAnsi"/>
          <w:b/>
          <w:bCs/>
          <w:sz w:val="24"/>
          <w:szCs w:val="24"/>
        </w:rPr>
        <w:lastRenderedPageBreak/>
        <w:t xml:space="preserve">Revenue Grade M&amp;V – </w:t>
      </w:r>
      <w:proofErr w:type="spellStart"/>
      <w:r w:rsidRPr="00EA3B10">
        <w:rPr>
          <w:rFonts w:asciiTheme="minorHAnsi" w:hAnsiTheme="minorHAnsi"/>
          <w:b/>
          <w:bCs/>
          <w:sz w:val="24"/>
          <w:szCs w:val="24"/>
        </w:rPr>
        <w:t>CalTRACK</w:t>
      </w:r>
      <w:proofErr w:type="spellEnd"/>
      <w:r w:rsidRPr="00EA3B10">
        <w:rPr>
          <w:rFonts w:asciiTheme="minorHAnsi" w:hAnsiTheme="minorHAnsi"/>
          <w:b/>
          <w:bCs/>
          <w:sz w:val="24"/>
          <w:szCs w:val="24"/>
        </w:rPr>
        <w:t xml:space="preserve"> and </w:t>
      </w:r>
      <w:proofErr w:type="spellStart"/>
      <w:r w:rsidRPr="00EA3B10">
        <w:rPr>
          <w:rFonts w:asciiTheme="minorHAnsi" w:hAnsiTheme="minorHAnsi"/>
          <w:b/>
          <w:bCs/>
          <w:sz w:val="24"/>
          <w:szCs w:val="24"/>
        </w:rPr>
        <w:t>OpenEEmeter</w:t>
      </w:r>
      <w:proofErr w:type="spellEnd"/>
    </w:p>
    <w:p w14:paraId="2F372F05" w14:textId="45F485C9" w:rsidR="00730AD4" w:rsidRPr="00EA3B10" w:rsidRDefault="00730AD4" w:rsidP="00730AD4">
      <w:pPr>
        <w:widowControl/>
        <w:adjustRightInd w:val="0"/>
        <w:rPr>
          <w:rFonts w:asciiTheme="minorHAnsi" w:eastAsiaTheme="minorHAnsi" w:hAnsiTheme="minorHAnsi" w:cs="Times New Roman"/>
          <w:color w:val="0F0F0F"/>
        </w:rPr>
      </w:pPr>
      <w:r w:rsidRPr="00EA3B10">
        <w:rPr>
          <w:rFonts w:asciiTheme="minorHAnsi" w:hAnsiTheme="minorHAnsi"/>
          <w:noProof/>
          <w:sz w:val="20"/>
        </w:rPr>
        <w:drawing>
          <wp:inline distT="0" distB="0" distL="0" distR="0" wp14:anchorId="56B00949" wp14:editId="19473B7B">
            <wp:extent cx="5927725" cy="5082363"/>
            <wp:effectExtent l="0" t="0" r="3175" b="0"/>
            <wp:docPr id="16" name="image11.pn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descr="Graphical user interface, text, application, email&#10;&#10;Description automatically generated"/>
                    <pic:cNvPicPr/>
                  </pic:nvPicPr>
                  <pic:blipFill rotWithShape="1">
                    <a:blip r:embed="rId17" cstate="print"/>
                    <a:srcRect t="13681" b="18188"/>
                    <a:stretch/>
                  </pic:blipFill>
                  <pic:spPr bwMode="auto">
                    <a:xfrm>
                      <a:off x="0" y="0"/>
                      <a:ext cx="5928534" cy="5083057"/>
                    </a:xfrm>
                    <a:prstGeom prst="rect">
                      <a:avLst/>
                    </a:prstGeom>
                    <a:ln>
                      <a:noFill/>
                    </a:ln>
                    <a:extLst>
                      <a:ext uri="{53640926-AAD7-44D8-BBD7-CCE9431645EC}">
                        <a14:shadowObscured xmlns:a14="http://schemas.microsoft.com/office/drawing/2010/main"/>
                      </a:ext>
                    </a:extLst>
                  </pic:spPr>
                </pic:pic>
              </a:graphicData>
            </a:graphic>
          </wp:inline>
        </w:drawing>
      </w:r>
    </w:p>
    <w:p w14:paraId="50BD4271" w14:textId="7097AF83" w:rsidR="00730AD4" w:rsidRPr="00EA3B10" w:rsidRDefault="00730AD4" w:rsidP="00730AD4">
      <w:pPr>
        <w:widowControl/>
        <w:adjustRightInd w:val="0"/>
        <w:rPr>
          <w:rFonts w:asciiTheme="minorHAnsi" w:eastAsiaTheme="minorHAnsi" w:hAnsiTheme="minorHAnsi" w:cs="Times New Roman"/>
          <w:color w:val="0F0F0F"/>
        </w:rPr>
      </w:pPr>
    </w:p>
    <w:p w14:paraId="063520F1" w14:textId="7BE9E259" w:rsidR="00730AD4" w:rsidRPr="00EA3B10" w:rsidRDefault="00730AD4" w:rsidP="00730AD4">
      <w:pPr>
        <w:widowControl/>
        <w:adjustRightInd w:val="0"/>
        <w:rPr>
          <w:rFonts w:asciiTheme="minorHAnsi" w:eastAsiaTheme="minorHAnsi" w:hAnsiTheme="minorHAnsi" w:cs="Times New Roman"/>
          <w:b/>
          <w:bCs/>
          <w:color w:val="0F0F0F"/>
          <w:sz w:val="24"/>
          <w:szCs w:val="24"/>
        </w:rPr>
      </w:pPr>
      <w:r w:rsidRPr="00EA3B10">
        <w:rPr>
          <w:rFonts w:asciiTheme="minorHAnsi" w:eastAsiaTheme="minorHAnsi" w:hAnsiTheme="minorHAnsi" w:cs="Times New Roman"/>
          <w:b/>
          <w:bCs/>
          <w:color w:val="0F0F0F"/>
          <w:sz w:val="24"/>
          <w:szCs w:val="24"/>
        </w:rPr>
        <w:t>Invoicing and Payment</w:t>
      </w:r>
    </w:p>
    <w:p w14:paraId="569D6119" w14:textId="38A24AD5" w:rsidR="00730AD4" w:rsidRPr="00EA3B10" w:rsidRDefault="00730AD4" w:rsidP="00730AD4">
      <w:pPr>
        <w:widowControl/>
        <w:adjustRightInd w:val="0"/>
        <w:rPr>
          <w:rFonts w:asciiTheme="minorHAnsi" w:eastAsiaTheme="minorHAnsi" w:hAnsiTheme="minorHAnsi" w:cs="Times New Roman"/>
          <w:color w:val="101111"/>
        </w:rPr>
      </w:pPr>
      <w:r w:rsidRPr="00EA3B10">
        <w:rPr>
          <w:rFonts w:asciiTheme="minorHAnsi" w:eastAsiaTheme="minorHAnsi" w:hAnsiTheme="minorHAnsi" w:cs="Times New Roman"/>
          <w:color w:val="101111"/>
        </w:rPr>
        <w:t xml:space="preserve">Recurve's electronic ledger tracks all stages of a NMEC project in a program, including non-routine adjustments. Invoice payment recommendations will be provided to MCE based on </w:t>
      </w:r>
      <w:proofErr w:type="spellStart"/>
      <w:r w:rsidRPr="00EA3B10">
        <w:rPr>
          <w:rFonts w:asciiTheme="minorHAnsi" w:eastAsiaTheme="minorHAnsi" w:hAnsiTheme="minorHAnsi" w:cs="Times New Roman"/>
          <w:color w:val="101111"/>
        </w:rPr>
        <w:t>CalTRACK</w:t>
      </w:r>
      <w:proofErr w:type="spellEnd"/>
      <w:r w:rsidRPr="00EA3B10">
        <w:rPr>
          <w:rFonts w:asciiTheme="minorHAnsi" w:eastAsiaTheme="minorHAnsi" w:hAnsiTheme="minorHAnsi" w:cs="Times New Roman"/>
          <w:color w:val="101111"/>
        </w:rPr>
        <w:t xml:space="preserve"> payable savings results. MCE will issue payments based on Recurve's payment recommendation.</w:t>
      </w:r>
    </w:p>
    <w:p w14:paraId="451D9203" w14:textId="1A77659E" w:rsidR="00730AD4" w:rsidRPr="00EA3B10" w:rsidRDefault="00730AD4" w:rsidP="00730AD4">
      <w:pPr>
        <w:widowControl/>
        <w:adjustRightInd w:val="0"/>
        <w:rPr>
          <w:rFonts w:asciiTheme="minorHAnsi" w:eastAsiaTheme="minorHAnsi" w:hAnsiTheme="minorHAnsi" w:cs="Times New Roman"/>
          <w:color w:val="101111"/>
        </w:rPr>
      </w:pPr>
    </w:p>
    <w:p w14:paraId="068A6B25" w14:textId="241BB4D1" w:rsidR="00730AD4" w:rsidRPr="00EA3B10" w:rsidRDefault="00730AD4">
      <w:pPr>
        <w:rPr>
          <w:rFonts w:asciiTheme="minorHAnsi" w:hAnsiTheme="minorHAnsi"/>
          <w:sz w:val="20"/>
        </w:rPr>
        <w:sectPr w:rsidR="00730AD4" w:rsidRPr="00EA3B10">
          <w:pgSz w:w="12240" w:h="15840"/>
          <w:pgMar w:top="1420" w:right="1320" w:bottom="1000" w:left="1340" w:header="727" w:footer="806" w:gutter="0"/>
          <w:cols w:space="720"/>
        </w:sectPr>
      </w:pPr>
    </w:p>
    <w:p w14:paraId="0DB05F4F" w14:textId="77777777" w:rsidR="00EA3B10" w:rsidRPr="00EA3B10" w:rsidRDefault="00EA3B10" w:rsidP="003433A3">
      <w:pPr>
        <w:pStyle w:val="BodyText"/>
        <w:ind w:left="0"/>
        <w:rPr>
          <w:rFonts w:asciiTheme="minorHAnsi" w:hAnsiTheme="minorHAnsi"/>
          <w:sz w:val="20"/>
        </w:rPr>
      </w:pPr>
    </w:p>
    <w:p w14:paraId="64ABADBA" w14:textId="4FC1578F" w:rsidR="00EA3B10" w:rsidRPr="00EA3B10" w:rsidRDefault="00EA3B10" w:rsidP="003433A3">
      <w:pPr>
        <w:pStyle w:val="BodyText"/>
        <w:ind w:left="0"/>
        <w:rPr>
          <w:rFonts w:asciiTheme="minorHAnsi" w:hAnsiTheme="minorHAnsi"/>
          <w:b/>
          <w:bCs/>
        </w:rPr>
      </w:pPr>
      <w:r w:rsidRPr="00EA3B10">
        <w:rPr>
          <w:rFonts w:asciiTheme="minorHAnsi" w:hAnsiTheme="minorHAnsi"/>
          <w:b/>
          <w:bCs/>
        </w:rPr>
        <w:t>Aggregator Start Up Process</w:t>
      </w:r>
    </w:p>
    <w:p w14:paraId="50D97936" w14:textId="527ECD90" w:rsidR="004E3FE0" w:rsidRPr="00EA3B10" w:rsidRDefault="00EA3B10" w:rsidP="00EA3B10">
      <w:pPr>
        <w:pStyle w:val="BodyText"/>
        <w:ind w:left="0"/>
        <w:rPr>
          <w:rFonts w:asciiTheme="minorHAnsi" w:hAnsiTheme="minorHAnsi"/>
          <w:sz w:val="20"/>
        </w:rPr>
        <w:sectPr w:rsidR="004E3FE0" w:rsidRPr="00EA3B10">
          <w:pgSz w:w="12240" w:h="15840"/>
          <w:pgMar w:top="1420" w:right="1320" w:bottom="1000" w:left="1340" w:header="727" w:footer="806" w:gutter="0"/>
          <w:cols w:space="720"/>
        </w:sectPr>
      </w:pPr>
      <w:r w:rsidRPr="00EA3B10">
        <w:rPr>
          <w:rFonts w:asciiTheme="minorHAnsi" w:hAnsiTheme="minorHAnsi"/>
          <w:noProof/>
          <w:sz w:val="20"/>
        </w:rPr>
        <w:drawing>
          <wp:anchor distT="0" distB="0" distL="114300" distR="114300" simplePos="0" relativeHeight="251664384" behindDoc="0" locked="0" layoutInCell="1" allowOverlap="1" wp14:anchorId="438C56D1" wp14:editId="1644280E">
            <wp:simplePos x="0" y="0"/>
            <wp:positionH relativeFrom="column">
              <wp:posOffset>0</wp:posOffset>
            </wp:positionH>
            <wp:positionV relativeFrom="paragraph">
              <wp:posOffset>0</wp:posOffset>
            </wp:positionV>
            <wp:extent cx="5907024" cy="6812280"/>
            <wp:effectExtent l="0" t="0" r="0" b="0"/>
            <wp:wrapTopAndBottom/>
            <wp:docPr id="23" name="image12.pn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descr="Text&#10;&#10;Description automatically generated"/>
                    <pic:cNvPicPr/>
                  </pic:nvPicPr>
                  <pic:blipFill rotWithShape="1">
                    <a:blip r:embed="rId18" cstate="print">
                      <a:extLst>
                        <a:ext uri="{28A0092B-C50C-407E-A947-70E740481C1C}">
                          <a14:useLocalDpi xmlns:a14="http://schemas.microsoft.com/office/drawing/2010/main" val="0"/>
                        </a:ext>
                      </a:extLst>
                    </a:blip>
                    <a:srcRect t="6697"/>
                    <a:stretch/>
                  </pic:blipFill>
                  <pic:spPr bwMode="auto">
                    <a:xfrm>
                      <a:off x="0" y="0"/>
                      <a:ext cx="5907024" cy="6812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C840A2" w14:textId="1136AD54" w:rsidR="00983B3A" w:rsidRPr="00983B3A" w:rsidRDefault="00983B3A" w:rsidP="00983B3A">
      <w:pPr>
        <w:widowControl/>
        <w:adjustRightInd w:val="0"/>
        <w:rPr>
          <w:rFonts w:asciiTheme="minorHAnsi" w:eastAsiaTheme="minorHAnsi" w:hAnsiTheme="minorHAnsi" w:cs="Times New Roman"/>
          <w:b/>
          <w:bCs/>
          <w:color w:val="0F0F0F"/>
          <w:sz w:val="24"/>
          <w:szCs w:val="24"/>
        </w:rPr>
      </w:pPr>
      <w:r w:rsidRPr="00983B3A">
        <w:rPr>
          <w:rFonts w:asciiTheme="minorHAnsi" w:eastAsiaTheme="minorHAnsi" w:hAnsiTheme="minorHAnsi" w:cs="Times New Roman"/>
          <w:b/>
          <w:bCs/>
          <w:color w:val="0F0F0F"/>
          <w:sz w:val="24"/>
          <w:szCs w:val="24"/>
        </w:rPr>
        <w:lastRenderedPageBreak/>
        <w:t>Quality Assurance Plan</w:t>
      </w:r>
    </w:p>
    <w:p w14:paraId="185ECF39" w14:textId="6FFD057B" w:rsidR="00983B3A" w:rsidRPr="00983B3A" w:rsidRDefault="00983B3A" w:rsidP="00983B3A">
      <w:pPr>
        <w:widowControl/>
        <w:adjustRightInd w:val="0"/>
        <w:rPr>
          <w:rFonts w:asciiTheme="minorHAnsi" w:eastAsiaTheme="minorHAnsi" w:hAnsiTheme="minorHAnsi" w:cs="Times New Roman"/>
          <w:color w:val="101111"/>
        </w:rPr>
      </w:pPr>
      <w:r w:rsidRPr="00983B3A">
        <w:rPr>
          <w:rFonts w:asciiTheme="minorHAnsi" w:eastAsiaTheme="minorHAnsi" w:hAnsiTheme="minorHAnsi" w:cs="Times New Roman"/>
          <w:color w:val="101111"/>
        </w:rPr>
        <w:t>MCE maintains the integrity of the MCE Demand Flexibility Marketplace through an independent Standards and Quality Assurance Team who manages the quality assurance system for the Marketplace.</w:t>
      </w:r>
    </w:p>
    <w:p w14:paraId="08407169" w14:textId="77777777" w:rsidR="00983B3A" w:rsidRPr="00983B3A" w:rsidRDefault="00983B3A" w:rsidP="00983B3A">
      <w:pPr>
        <w:widowControl/>
        <w:adjustRightInd w:val="0"/>
        <w:rPr>
          <w:rFonts w:asciiTheme="minorHAnsi" w:eastAsiaTheme="minorHAnsi" w:hAnsiTheme="minorHAnsi" w:cs="Times New Roman"/>
          <w:color w:val="101111"/>
        </w:rPr>
      </w:pPr>
    </w:p>
    <w:p w14:paraId="2B4B895C" w14:textId="77777777" w:rsidR="00983B3A" w:rsidRDefault="00983B3A" w:rsidP="00983B3A">
      <w:pPr>
        <w:widowControl/>
        <w:adjustRightInd w:val="0"/>
      </w:pPr>
      <w:r w:rsidRPr="00983B3A">
        <w:rPr>
          <w:rFonts w:asciiTheme="minorHAnsi" w:eastAsiaTheme="minorHAnsi" w:hAnsiTheme="minorHAnsi" w:cs="Times New Roman"/>
          <w:color w:val="101111"/>
        </w:rPr>
        <w:t>The quality assurance (QA) system has several components, including a review of qualifications and credentials, paperwork audits, the establishment of program standards, and field and photo inspections. QA inspections involve verification of the contracted scope of work, accuracy of site analysis, comparison of installation to submitted designs. RECURVE, MCE, or its representatives may make a reasonable number of visits to the</w:t>
      </w:r>
      <w:r>
        <w:t xml:space="preserve"> customer site before, during, and/or after installation of efficiency measures to assess overall compliance.</w:t>
      </w:r>
    </w:p>
    <w:p w14:paraId="0BE15B74" w14:textId="77777777" w:rsidR="00983B3A" w:rsidRDefault="00983B3A" w:rsidP="00983B3A">
      <w:pPr>
        <w:pStyle w:val="BodyText"/>
        <w:kinsoku w:val="0"/>
        <w:overflowPunct w:val="0"/>
        <w:spacing w:before="10"/>
        <w:rPr>
          <w:sz w:val="31"/>
          <w:szCs w:val="31"/>
        </w:rPr>
      </w:pPr>
    </w:p>
    <w:p w14:paraId="5F7E1A20" w14:textId="77777777" w:rsidR="00983B3A" w:rsidRPr="00983B3A" w:rsidRDefault="00983B3A" w:rsidP="00983B3A">
      <w:pPr>
        <w:widowControl/>
        <w:adjustRightInd w:val="0"/>
        <w:rPr>
          <w:rFonts w:asciiTheme="minorHAnsi" w:eastAsiaTheme="minorHAnsi" w:hAnsiTheme="minorHAnsi" w:cs="Times New Roman"/>
          <w:b/>
          <w:bCs/>
          <w:color w:val="0F0F0F"/>
          <w:sz w:val="24"/>
          <w:szCs w:val="24"/>
        </w:rPr>
      </w:pPr>
      <w:r w:rsidRPr="00983B3A">
        <w:rPr>
          <w:rFonts w:asciiTheme="minorHAnsi" w:eastAsiaTheme="minorHAnsi" w:hAnsiTheme="minorHAnsi" w:cs="Times New Roman"/>
          <w:b/>
          <w:bCs/>
          <w:color w:val="0F0F0F"/>
          <w:sz w:val="24"/>
          <w:szCs w:val="24"/>
        </w:rPr>
        <w:t>Program Roles and Responsibilities</w:t>
      </w:r>
    </w:p>
    <w:p w14:paraId="03BD252E" w14:textId="77777777" w:rsidR="00983B3A" w:rsidRPr="00983B3A" w:rsidRDefault="00983B3A" w:rsidP="00983B3A">
      <w:pPr>
        <w:widowControl/>
        <w:adjustRightInd w:val="0"/>
        <w:rPr>
          <w:rFonts w:asciiTheme="minorHAnsi" w:eastAsiaTheme="minorHAnsi" w:hAnsiTheme="minorHAnsi" w:cs="Times New Roman"/>
          <w:color w:val="101111"/>
        </w:rPr>
      </w:pPr>
      <w:r w:rsidRPr="00983B3A">
        <w:rPr>
          <w:rFonts w:asciiTheme="minorHAnsi" w:eastAsiaTheme="minorHAnsi" w:hAnsiTheme="minorHAnsi" w:cs="Times New Roman"/>
          <w:color w:val="101111"/>
        </w:rPr>
        <w:t>The program relies on Aggregators to provide complete turnkey services for qualified demand flexibility improvements to customers.</w:t>
      </w:r>
    </w:p>
    <w:p w14:paraId="0A480A3D" w14:textId="77777777" w:rsidR="00983B3A" w:rsidRDefault="00983B3A" w:rsidP="00983B3A">
      <w:pPr>
        <w:pStyle w:val="BodyText"/>
        <w:kinsoku w:val="0"/>
        <w:overflowPunct w:val="0"/>
        <w:spacing w:before="9"/>
        <w:rPr>
          <w:sz w:val="23"/>
          <w:szCs w:val="23"/>
        </w:rPr>
      </w:pPr>
    </w:p>
    <w:p w14:paraId="08BD864D" w14:textId="77777777" w:rsidR="00983B3A" w:rsidRPr="00983B3A" w:rsidRDefault="00983B3A" w:rsidP="00983B3A">
      <w:pPr>
        <w:widowControl/>
        <w:adjustRightInd w:val="0"/>
        <w:rPr>
          <w:rFonts w:asciiTheme="minorHAnsi" w:eastAsiaTheme="minorHAnsi" w:hAnsiTheme="minorHAnsi" w:cs="Times New Roman"/>
          <w:b/>
          <w:bCs/>
          <w:color w:val="0F0F0F"/>
          <w:sz w:val="24"/>
          <w:szCs w:val="24"/>
        </w:rPr>
      </w:pPr>
      <w:r w:rsidRPr="00983B3A">
        <w:rPr>
          <w:rFonts w:asciiTheme="minorHAnsi" w:eastAsiaTheme="minorHAnsi" w:hAnsiTheme="minorHAnsi" w:cs="Times New Roman"/>
          <w:b/>
          <w:bCs/>
          <w:color w:val="0F0F0F"/>
          <w:sz w:val="24"/>
          <w:szCs w:val="24"/>
        </w:rPr>
        <w:t>Aggregator Roles and Responsibilities</w:t>
      </w:r>
    </w:p>
    <w:p w14:paraId="69D5FE07" w14:textId="77777777" w:rsidR="00983B3A" w:rsidRPr="00983B3A" w:rsidRDefault="00983B3A" w:rsidP="00983B3A">
      <w:pPr>
        <w:pStyle w:val="ListParagraph"/>
        <w:widowControl/>
        <w:numPr>
          <w:ilvl w:val="0"/>
          <w:numId w:val="2"/>
        </w:numPr>
        <w:adjustRightInd w:val="0"/>
        <w:spacing w:after="100" w:afterAutospacing="1"/>
        <w:contextualSpacing/>
        <w:rPr>
          <w:rFonts w:asciiTheme="minorHAnsi" w:eastAsiaTheme="minorHAnsi" w:hAnsiTheme="minorHAnsi" w:cs="Times New Roman"/>
          <w:color w:val="212222"/>
        </w:rPr>
      </w:pPr>
      <w:r w:rsidRPr="00983B3A">
        <w:rPr>
          <w:rFonts w:asciiTheme="minorHAnsi" w:eastAsiaTheme="minorHAnsi" w:hAnsiTheme="minorHAnsi" w:cs="Times New Roman"/>
          <w:color w:val="212222"/>
        </w:rPr>
        <w:t>Holds the agreement (contract) with the customer</w:t>
      </w:r>
    </w:p>
    <w:p w14:paraId="517F4C60" w14:textId="77777777" w:rsidR="00983B3A" w:rsidRPr="00983B3A" w:rsidRDefault="00983B3A" w:rsidP="00983B3A">
      <w:pPr>
        <w:pStyle w:val="ListParagraph"/>
        <w:widowControl/>
        <w:numPr>
          <w:ilvl w:val="0"/>
          <w:numId w:val="2"/>
        </w:numPr>
        <w:adjustRightInd w:val="0"/>
        <w:spacing w:after="100" w:afterAutospacing="1"/>
        <w:contextualSpacing/>
        <w:rPr>
          <w:rFonts w:asciiTheme="minorHAnsi" w:eastAsiaTheme="minorHAnsi" w:hAnsiTheme="minorHAnsi" w:cs="Times New Roman"/>
          <w:color w:val="212222"/>
        </w:rPr>
      </w:pPr>
      <w:r w:rsidRPr="00983B3A">
        <w:rPr>
          <w:rFonts w:asciiTheme="minorHAnsi" w:eastAsiaTheme="minorHAnsi" w:hAnsiTheme="minorHAnsi" w:cs="Times New Roman"/>
          <w:color w:val="212222"/>
        </w:rPr>
        <w:t>Responsible for performance, including subcontractors</w:t>
      </w:r>
    </w:p>
    <w:p w14:paraId="1BA1E60E" w14:textId="77777777" w:rsidR="00983B3A" w:rsidRPr="00983B3A" w:rsidRDefault="00983B3A" w:rsidP="00983B3A">
      <w:pPr>
        <w:pStyle w:val="ListParagraph"/>
        <w:widowControl/>
        <w:numPr>
          <w:ilvl w:val="0"/>
          <w:numId w:val="2"/>
        </w:numPr>
        <w:adjustRightInd w:val="0"/>
        <w:spacing w:after="100" w:afterAutospacing="1"/>
        <w:contextualSpacing/>
        <w:rPr>
          <w:rFonts w:asciiTheme="minorHAnsi" w:eastAsiaTheme="minorHAnsi" w:hAnsiTheme="minorHAnsi" w:cs="Times New Roman"/>
          <w:color w:val="212222"/>
        </w:rPr>
      </w:pPr>
      <w:r w:rsidRPr="00983B3A">
        <w:rPr>
          <w:rFonts w:asciiTheme="minorHAnsi" w:eastAsiaTheme="minorHAnsi" w:hAnsiTheme="minorHAnsi" w:cs="Times New Roman"/>
          <w:color w:val="212222"/>
        </w:rPr>
        <w:t>Receives incentive payments</w:t>
      </w:r>
    </w:p>
    <w:p w14:paraId="2D035F22" w14:textId="77777777" w:rsidR="00983B3A" w:rsidRPr="00983B3A" w:rsidRDefault="00983B3A" w:rsidP="00983B3A">
      <w:pPr>
        <w:pStyle w:val="ListParagraph"/>
        <w:widowControl/>
        <w:numPr>
          <w:ilvl w:val="0"/>
          <w:numId w:val="2"/>
        </w:numPr>
        <w:adjustRightInd w:val="0"/>
        <w:spacing w:after="100" w:afterAutospacing="1"/>
        <w:contextualSpacing/>
        <w:rPr>
          <w:rFonts w:asciiTheme="minorHAnsi" w:eastAsiaTheme="minorHAnsi" w:hAnsiTheme="minorHAnsi" w:cs="Times New Roman"/>
          <w:color w:val="212222"/>
        </w:rPr>
      </w:pPr>
      <w:r w:rsidRPr="00983B3A">
        <w:rPr>
          <w:rFonts w:asciiTheme="minorHAnsi" w:eastAsiaTheme="minorHAnsi" w:hAnsiTheme="minorHAnsi" w:cs="Times New Roman"/>
          <w:color w:val="212222"/>
        </w:rPr>
        <w:t>Agrees to terms of the Flexibility Purchase Agreement</w:t>
      </w:r>
    </w:p>
    <w:p w14:paraId="75657018" w14:textId="77777777" w:rsidR="00983B3A" w:rsidRPr="00983B3A" w:rsidRDefault="00983B3A" w:rsidP="00983B3A">
      <w:pPr>
        <w:pStyle w:val="ListParagraph"/>
        <w:widowControl/>
        <w:numPr>
          <w:ilvl w:val="0"/>
          <w:numId w:val="2"/>
        </w:numPr>
        <w:adjustRightInd w:val="0"/>
        <w:spacing w:after="100" w:afterAutospacing="1"/>
        <w:contextualSpacing/>
        <w:rPr>
          <w:rFonts w:asciiTheme="minorHAnsi" w:eastAsiaTheme="minorHAnsi" w:hAnsiTheme="minorHAnsi" w:cs="Times New Roman"/>
          <w:color w:val="212222"/>
        </w:rPr>
      </w:pPr>
      <w:r w:rsidRPr="00983B3A">
        <w:rPr>
          <w:rFonts w:asciiTheme="minorHAnsi" w:eastAsiaTheme="minorHAnsi" w:hAnsiTheme="minorHAnsi" w:cs="Times New Roman"/>
          <w:color w:val="212222"/>
        </w:rPr>
        <w:t>Agrees to terms of the M&amp;V agreement</w:t>
      </w:r>
    </w:p>
    <w:p w14:paraId="4F8A3344" w14:textId="77777777" w:rsidR="00983B3A" w:rsidRPr="00983B3A" w:rsidRDefault="00983B3A" w:rsidP="00983B3A">
      <w:pPr>
        <w:pStyle w:val="ListParagraph"/>
        <w:widowControl/>
        <w:numPr>
          <w:ilvl w:val="0"/>
          <w:numId w:val="2"/>
        </w:numPr>
        <w:adjustRightInd w:val="0"/>
        <w:spacing w:after="100" w:afterAutospacing="1"/>
        <w:contextualSpacing/>
        <w:rPr>
          <w:rFonts w:asciiTheme="minorHAnsi" w:eastAsiaTheme="minorHAnsi" w:hAnsiTheme="minorHAnsi" w:cs="Times New Roman"/>
          <w:color w:val="212222"/>
        </w:rPr>
      </w:pPr>
      <w:r w:rsidRPr="00983B3A">
        <w:rPr>
          <w:rFonts w:asciiTheme="minorHAnsi" w:eastAsiaTheme="minorHAnsi" w:hAnsiTheme="minorHAnsi" w:cs="Times New Roman"/>
          <w:color w:val="212222"/>
        </w:rPr>
        <w:t>Accountable for resolution of customer complaints</w:t>
      </w:r>
    </w:p>
    <w:p w14:paraId="03DD9CEF" w14:textId="77777777" w:rsidR="00983B3A" w:rsidRPr="00983B3A" w:rsidRDefault="00983B3A" w:rsidP="00983B3A">
      <w:pPr>
        <w:pStyle w:val="ListParagraph"/>
        <w:widowControl/>
        <w:numPr>
          <w:ilvl w:val="0"/>
          <w:numId w:val="2"/>
        </w:numPr>
        <w:adjustRightInd w:val="0"/>
        <w:spacing w:after="100" w:afterAutospacing="1"/>
        <w:contextualSpacing/>
        <w:rPr>
          <w:rFonts w:asciiTheme="minorHAnsi" w:eastAsiaTheme="minorHAnsi" w:hAnsiTheme="minorHAnsi" w:cs="Times New Roman"/>
          <w:color w:val="212222"/>
        </w:rPr>
      </w:pPr>
      <w:r w:rsidRPr="00983B3A">
        <w:rPr>
          <w:rFonts w:asciiTheme="minorHAnsi" w:eastAsiaTheme="minorHAnsi" w:hAnsiTheme="minorHAnsi" w:cs="Times New Roman"/>
          <w:color w:val="212222"/>
        </w:rPr>
        <w:t>Responsible for warranties and production guarantees</w:t>
      </w:r>
    </w:p>
    <w:p w14:paraId="67DA3F82" w14:textId="77777777" w:rsidR="00983B3A" w:rsidRPr="00983B3A" w:rsidRDefault="00983B3A" w:rsidP="00983B3A">
      <w:pPr>
        <w:pStyle w:val="ListParagraph"/>
        <w:widowControl/>
        <w:numPr>
          <w:ilvl w:val="0"/>
          <w:numId w:val="2"/>
        </w:numPr>
        <w:adjustRightInd w:val="0"/>
        <w:spacing w:after="100" w:afterAutospacing="1"/>
        <w:contextualSpacing/>
        <w:rPr>
          <w:rFonts w:asciiTheme="minorHAnsi" w:eastAsiaTheme="minorHAnsi" w:hAnsiTheme="minorHAnsi" w:cs="Times New Roman"/>
          <w:color w:val="212222"/>
        </w:rPr>
      </w:pPr>
      <w:r w:rsidRPr="00983B3A">
        <w:rPr>
          <w:rFonts w:asciiTheme="minorHAnsi" w:eastAsiaTheme="minorHAnsi" w:hAnsiTheme="minorHAnsi" w:cs="Times New Roman"/>
          <w:color w:val="212222"/>
        </w:rPr>
        <w:t>Responsible for installation and quality of the project</w:t>
      </w:r>
    </w:p>
    <w:p w14:paraId="3AC35164" w14:textId="77777777" w:rsidR="00983B3A" w:rsidRPr="00983B3A" w:rsidRDefault="00983B3A" w:rsidP="00983B3A">
      <w:pPr>
        <w:pStyle w:val="ListParagraph"/>
        <w:widowControl/>
        <w:numPr>
          <w:ilvl w:val="0"/>
          <w:numId w:val="2"/>
        </w:numPr>
        <w:adjustRightInd w:val="0"/>
        <w:spacing w:after="100" w:afterAutospacing="1"/>
        <w:contextualSpacing/>
        <w:rPr>
          <w:rFonts w:asciiTheme="minorHAnsi" w:eastAsiaTheme="minorHAnsi" w:hAnsiTheme="minorHAnsi" w:cs="Times New Roman"/>
          <w:color w:val="212222"/>
        </w:rPr>
      </w:pPr>
      <w:r w:rsidRPr="00983B3A">
        <w:rPr>
          <w:rFonts w:asciiTheme="minorHAnsi" w:eastAsiaTheme="minorHAnsi" w:hAnsiTheme="minorHAnsi" w:cs="Times New Roman"/>
          <w:color w:val="212222"/>
        </w:rPr>
        <w:t>Responsible for maintaining a credentialed person on staff</w:t>
      </w:r>
    </w:p>
    <w:p w14:paraId="72164A22" w14:textId="77777777" w:rsidR="00983B3A" w:rsidRPr="00983B3A" w:rsidRDefault="00983B3A" w:rsidP="00983B3A">
      <w:pPr>
        <w:widowControl/>
        <w:adjustRightInd w:val="0"/>
        <w:spacing w:after="100" w:afterAutospacing="1"/>
        <w:ind w:left="720"/>
        <w:contextualSpacing/>
        <w:rPr>
          <w:rFonts w:asciiTheme="minorHAnsi" w:eastAsiaTheme="minorHAnsi" w:hAnsiTheme="minorHAnsi" w:cs="Times New Roman"/>
          <w:color w:val="212222"/>
        </w:rPr>
      </w:pPr>
    </w:p>
    <w:p w14:paraId="5C26EE44" w14:textId="77777777" w:rsidR="00983B3A" w:rsidRPr="00983B3A" w:rsidRDefault="00983B3A" w:rsidP="00983B3A">
      <w:pPr>
        <w:widowControl/>
        <w:adjustRightInd w:val="0"/>
        <w:rPr>
          <w:rFonts w:asciiTheme="minorHAnsi" w:eastAsiaTheme="minorHAnsi" w:hAnsiTheme="minorHAnsi" w:cs="Times New Roman"/>
          <w:b/>
          <w:bCs/>
          <w:color w:val="0F0F0F"/>
          <w:sz w:val="24"/>
          <w:szCs w:val="24"/>
        </w:rPr>
      </w:pPr>
      <w:r w:rsidRPr="00983B3A">
        <w:rPr>
          <w:rFonts w:asciiTheme="minorHAnsi" w:eastAsiaTheme="minorHAnsi" w:hAnsiTheme="minorHAnsi" w:cs="Times New Roman"/>
          <w:b/>
          <w:bCs/>
          <w:color w:val="0F0F0F"/>
          <w:sz w:val="24"/>
          <w:szCs w:val="24"/>
        </w:rPr>
        <w:t>Selecting Completed Projects for Inspection</w:t>
      </w:r>
    </w:p>
    <w:p w14:paraId="5C8F808A" w14:textId="77777777" w:rsidR="00983B3A" w:rsidRPr="00983B3A" w:rsidRDefault="00983B3A" w:rsidP="00983B3A">
      <w:pPr>
        <w:widowControl/>
        <w:adjustRightInd w:val="0"/>
        <w:rPr>
          <w:rFonts w:asciiTheme="minorHAnsi" w:eastAsiaTheme="minorHAnsi" w:hAnsiTheme="minorHAnsi" w:cs="Times New Roman"/>
          <w:color w:val="101111"/>
        </w:rPr>
      </w:pPr>
      <w:r w:rsidRPr="00983B3A">
        <w:rPr>
          <w:rFonts w:asciiTheme="minorHAnsi" w:eastAsiaTheme="minorHAnsi" w:hAnsiTheme="minorHAnsi" w:cs="Times New Roman"/>
          <w:color w:val="101111"/>
        </w:rPr>
        <w:t>The purpose of the QA inspection is to provide MCE an opportunity to evaluate the accuracy of the site analysis and design documents and verify that building components and equipment are installed according to Program requirements. The QA inspection also includes selected health and safety and performance items.</w:t>
      </w:r>
    </w:p>
    <w:p w14:paraId="0843262C" w14:textId="77777777" w:rsidR="00983B3A" w:rsidRPr="00983B3A" w:rsidRDefault="00983B3A" w:rsidP="00983B3A">
      <w:pPr>
        <w:widowControl/>
        <w:adjustRightInd w:val="0"/>
        <w:rPr>
          <w:rFonts w:asciiTheme="minorHAnsi" w:eastAsiaTheme="minorHAnsi" w:hAnsiTheme="minorHAnsi" w:cs="Times New Roman"/>
          <w:color w:val="101111"/>
        </w:rPr>
      </w:pPr>
    </w:p>
    <w:p w14:paraId="131C1903" w14:textId="77777777" w:rsidR="00983B3A" w:rsidRPr="00983B3A" w:rsidRDefault="00983B3A" w:rsidP="00983B3A">
      <w:pPr>
        <w:widowControl/>
        <w:adjustRightInd w:val="0"/>
        <w:rPr>
          <w:rFonts w:asciiTheme="minorHAnsi" w:eastAsiaTheme="minorHAnsi" w:hAnsiTheme="minorHAnsi" w:cs="Times New Roman"/>
          <w:color w:val="101111"/>
        </w:rPr>
      </w:pPr>
      <w:r w:rsidRPr="00983B3A">
        <w:rPr>
          <w:rFonts w:asciiTheme="minorHAnsi" w:eastAsiaTheme="minorHAnsi" w:hAnsiTheme="minorHAnsi" w:cs="Times New Roman"/>
          <w:color w:val="101111"/>
        </w:rPr>
        <w:t>MCE reserves the right to select any project for inspection. Selections may include consideration of the following criteria:</w:t>
      </w:r>
    </w:p>
    <w:p w14:paraId="37F85651" w14:textId="77777777" w:rsidR="00983B3A" w:rsidRPr="00983B3A" w:rsidRDefault="00983B3A" w:rsidP="00983B3A">
      <w:pPr>
        <w:pStyle w:val="ListParagraph"/>
        <w:widowControl/>
        <w:numPr>
          <w:ilvl w:val="0"/>
          <w:numId w:val="2"/>
        </w:numPr>
        <w:adjustRightInd w:val="0"/>
        <w:spacing w:after="100" w:afterAutospacing="1"/>
        <w:contextualSpacing/>
        <w:rPr>
          <w:rFonts w:asciiTheme="minorHAnsi" w:eastAsiaTheme="minorHAnsi" w:hAnsiTheme="minorHAnsi" w:cs="Times New Roman"/>
          <w:color w:val="212222"/>
        </w:rPr>
      </w:pPr>
      <w:r w:rsidRPr="00983B3A">
        <w:rPr>
          <w:rFonts w:asciiTheme="minorHAnsi" w:eastAsiaTheme="minorHAnsi" w:hAnsiTheme="minorHAnsi" w:cs="Times New Roman"/>
          <w:color w:val="212222"/>
        </w:rPr>
        <w:t>Low savings realization rates</w:t>
      </w:r>
    </w:p>
    <w:p w14:paraId="4D142D2E" w14:textId="77777777" w:rsidR="00983B3A" w:rsidRPr="00983B3A" w:rsidRDefault="00983B3A" w:rsidP="00983B3A">
      <w:pPr>
        <w:pStyle w:val="ListParagraph"/>
        <w:widowControl/>
        <w:numPr>
          <w:ilvl w:val="0"/>
          <w:numId w:val="2"/>
        </w:numPr>
        <w:adjustRightInd w:val="0"/>
        <w:spacing w:after="100" w:afterAutospacing="1"/>
        <w:contextualSpacing/>
        <w:rPr>
          <w:rFonts w:asciiTheme="minorHAnsi" w:eastAsiaTheme="minorHAnsi" w:hAnsiTheme="minorHAnsi" w:cs="Times New Roman"/>
          <w:color w:val="212222"/>
        </w:rPr>
      </w:pPr>
      <w:r w:rsidRPr="00983B3A">
        <w:rPr>
          <w:rFonts w:asciiTheme="minorHAnsi" w:eastAsiaTheme="minorHAnsi" w:hAnsiTheme="minorHAnsi" w:cs="Times New Roman"/>
          <w:color w:val="212222"/>
        </w:rPr>
        <w:t>High CVRMSE or CVRMSE change</w:t>
      </w:r>
    </w:p>
    <w:p w14:paraId="1A1609B1" w14:textId="77777777" w:rsidR="00983B3A" w:rsidRPr="00983B3A" w:rsidRDefault="00983B3A" w:rsidP="00983B3A">
      <w:pPr>
        <w:pStyle w:val="ListParagraph"/>
        <w:widowControl/>
        <w:numPr>
          <w:ilvl w:val="0"/>
          <w:numId w:val="2"/>
        </w:numPr>
        <w:adjustRightInd w:val="0"/>
        <w:spacing w:after="100" w:afterAutospacing="1"/>
        <w:contextualSpacing/>
        <w:rPr>
          <w:rFonts w:asciiTheme="minorHAnsi" w:eastAsiaTheme="minorHAnsi" w:hAnsiTheme="minorHAnsi" w:cs="Times New Roman"/>
          <w:color w:val="212222"/>
        </w:rPr>
      </w:pPr>
      <w:r w:rsidRPr="00983B3A">
        <w:rPr>
          <w:rFonts w:asciiTheme="minorHAnsi" w:eastAsiaTheme="minorHAnsi" w:hAnsiTheme="minorHAnsi" w:cs="Times New Roman"/>
          <w:color w:val="212222"/>
        </w:rPr>
        <w:t>High variance</w:t>
      </w:r>
    </w:p>
    <w:p w14:paraId="5A7E85D2" w14:textId="77777777" w:rsidR="00983B3A" w:rsidRDefault="00983B3A" w:rsidP="00983B3A">
      <w:pPr>
        <w:pStyle w:val="ListParagraph"/>
        <w:numPr>
          <w:ilvl w:val="1"/>
          <w:numId w:val="1"/>
        </w:numPr>
        <w:tabs>
          <w:tab w:val="left" w:pos="1000"/>
        </w:tabs>
        <w:kinsoku w:val="0"/>
        <w:overflowPunct w:val="0"/>
        <w:adjustRightInd w:val="0"/>
        <w:spacing w:before="31"/>
        <w:sectPr w:rsidR="00983B3A">
          <w:pgSz w:w="12240" w:h="15840"/>
          <w:pgMar w:top="1380" w:right="1160" w:bottom="280" w:left="1160" w:header="720" w:footer="720" w:gutter="0"/>
          <w:cols w:space="720"/>
          <w:noEndnote/>
        </w:sectPr>
      </w:pPr>
    </w:p>
    <w:p w14:paraId="42E09DCF" w14:textId="77777777" w:rsidR="00983B3A" w:rsidRPr="00983B3A" w:rsidRDefault="00983B3A" w:rsidP="00983B3A">
      <w:pPr>
        <w:widowControl/>
        <w:adjustRightInd w:val="0"/>
        <w:rPr>
          <w:rFonts w:asciiTheme="minorHAnsi" w:eastAsiaTheme="minorHAnsi" w:hAnsiTheme="minorHAnsi" w:cs="Times New Roman"/>
          <w:color w:val="101111"/>
        </w:rPr>
      </w:pPr>
      <w:r w:rsidRPr="00983B3A">
        <w:rPr>
          <w:rFonts w:asciiTheme="minorHAnsi" w:eastAsiaTheme="minorHAnsi" w:hAnsiTheme="minorHAnsi" w:cs="Times New Roman"/>
          <w:color w:val="101111"/>
        </w:rPr>
        <w:lastRenderedPageBreak/>
        <w:t>MCE intends to conduct both field and photo inspections based on the following sampling rates:</w:t>
      </w:r>
    </w:p>
    <w:p w14:paraId="3E12E3D8" w14:textId="77777777" w:rsidR="00983B3A" w:rsidRPr="00983B3A" w:rsidRDefault="00983B3A" w:rsidP="00983B3A">
      <w:pPr>
        <w:pStyle w:val="ListParagraph"/>
        <w:widowControl/>
        <w:numPr>
          <w:ilvl w:val="0"/>
          <w:numId w:val="2"/>
        </w:numPr>
        <w:adjustRightInd w:val="0"/>
        <w:spacing w:after="100" w:afterAutospacing="1"/>
        <w:contextualSpacing/>
        <w:rPr>
          <w:rFonts w:asciiTheme="minorHAnsi" w:eastAsiaTheme="minorHAnsi" w:hAnsiTheme="minorHAnsi" w:cs="Times New Roman"/>
          <w:color w:val="212222"/>
        </w:rPr>
      </w:pPr>
      <w:r w:rsidRPr="00983B3A">
        <w:rPr>
          <w:rFonts w:asciiTheme="minorHAnsi" w:eastAsiaTheme="minorHAnsi" w:hAnsiTheme="minorHAnsi" w:cs="Times New Roman"/>
          <w:color w:val="212222"/>
        </w:rPr>
        <w:t>10% photographic</w:t>
      </w:r>
    </w:p>
    <w:p w14:paraId="75BBA08B" w14:textId="77777777" w:rsidR="00983B3A" w:rsidRPr="00983B3A" w:rsidRDefault="00983B3A" w:rsidP="00983B3A">
      <w:pPr>
        <w:pStyle w:val="ListParagraph"/>
        <w:widowControl/>
        <w:numPr>
          <w:ilvl w:val="0"/>
          <w:numId w:val="2"/>
        </w:numPr>
        <w:adjustRightInd w:val="0"/>
        <w:spacing w:after="100" w:afterAutospacing="1"/>
        <w:contextualSpacing/>
        <w:rPr>
          <w:rFonts w:asciiTheme="minorHAnsi" w:eastAsiaTheme="minorHAnsi" w:hAnsiTheme="minorHAnsi" w:cs="Times New Roman"/>
          <w:color w:val="212222"/>
        </w:rPr>
      </w:pPr>
      <w:r w:rsidRPr="00983B3A">
        <w:rPr>
          <w:rFonts w:asciiTheme="minorHAnsi" w:eastAsiaTheme="minorHAnsi" w:hAnsiTheme="minorHAnsi" w:cs="Times New Roman"/>
          <w:color w:val="212222"/>
        </w:rPr>
        <w:t>2-4% onsite inspection</w:t>
      </w:r>
    </w:p>
    <w:p w14:paraId="51600884" w14:textId="77777777" w:rsidR="00983B3A" w:rsidRPr="00983B3A" w:rsidRDefault="00983B3A" w:rsidP="00983B3A">
      <w:pPr>
        <w:widowControl/>
        <w:adjustRightInd w:val="0"/>
        <w:rPr>
          <w:rFonts w:asciiTheme="minorHAnsi" w:eastAsiaTheme="minorHAnsi" w:hAnsiTheme="minorHAnsi" w:cs="Times New Roman"/>
          <w:color w:val="101111"/>
        </w:rPr>
      </w:pPr>
      <w:r w:rsidRPr="00983B3A">
        <w:rPr>
          <w:rFonts w:asciiTheme="minorHAnsi" w:eastAsiaTheme="minorHAnsi" w:hAnsiTheme="minorHAnsi" w:cs="Times New Roman"/>
          <w:color w:val="101111"/>
        </w:rPr>
        <w:t>MCE may select any completed project for inspection based upon customer complaints, warranty related issues, or as part of the review of a contractor under status review or Program disciplinary action.</w:t>
      </w:r>
    </w:p>
    <w:p w14:paraId="6C338811" w14:textId="77777777" w:rsidR="00983B3A" w:rsidRDefault="00983B3A" w:rsidP="00983B3A">
      <w:pPr>
        <w:pStyle w:val="BodyText"/>
        <w:kinsoku w:val="0"/>
        <w:overflowPunct w:val="0"/>
        <w:spacing w:before="8"/>
        <w:rPr>
          <w:sz w:val="16"/>
          <w:szCs w:val="16"/>
        </w:rPr>
      </w:pPr>
    </w:p>
    <w:p w14:paraId="0FF7E565" w14:textId="77777777" w:rsidR="00983B3A" w:rsidRPr="00983B3A" w:rsidRDefault="00983B3A" w:rsidP="00983B3A">
      <w:pPr>
        <w:widowControl/>
        <w:adjustRightInd w:val="0"/>
        <w:rPr>
          <w:rFonts w:asciiTheme="minorHAnsi" w:eastAsiaTheme="minorHAnsi" w:hAnsiTheme="minorHAnsi" w:cs="Times New Roman"/>
          <w:b/>
          <w:bCs/>
          <w:color w:val="0F0F0F"/>
          <w:sz w:val="24"/>
          <w:szCs w:val="24"/>
        </w:rPr>
      </w:pPr>
      <w:r w:rsidRPr="00983B3A">
        <w:rPr>
          <w:rFonts w:asciiTheme="minorHAnsi" w:eastAsiaTheme="minorHAnsi" w:hAnsiTheme="minorHAnsi" w:cs="Times New Roman"/>
          <w:b/>
          <w:bCs/>
          <w:color w:val="0F0F0F"/>
          <w:sz w:val="24"/>
          <w:szCs w:val="24"/>
        </w:rPr>
        <w:t>Field Inspections Process and Scope</w:t>
      </w:r>
    </w:p>
    <w:p w14:paraId="342818DA" w14:textId="77777777" w:rsidR="00983B3A" w:rsidRPr="00983B3A" w:rsidRDefault="00983B3A" w:rsidP="00983B3A">
      <w:pPr>
        <w:widowControl/>
        <w:adjustRightInd w:val="0"/>
        <w:rPr>
          <w:rFonts w:asciiTheme="minorHAnsi" w:eastAsiaTheme="minorHAnsi" w:hAnsiTheme="minorHAnsi" w:cs="Times New Roman"/>
          <w:color w:val="101111"/>
        </w:rPr>
      </w:pPr>
      <w:r w:rsidRPr="00983B3A">
        <w:rPr>
          <w:rFonts w:asciiTheme="minorHAnsi" w:eastAsiaTheme="minorHAnsi" w:hAnsiTheme="minorHAnsi" w:cs="Times New Roman"/>
          <w:color w:val="101111"/>
        </w:rPr>
        <w:t xml:space="preserve">The purpose of inspection is to confirm measures are installed per manufacturer instructions and as outlined by the aggregator in the customer agreement, and in the </w:t>
      </w:r>
      <w:proofErr w:type="gramStart"/>
      <w:r w:rsidRPr="00983B3A">
        <w:rPr>
          <w:rFonts w:asciiTheme="minorHAnsi" w:eastAsiaTheme="minorHAnsi" w:hAnsiTheme="minorHAnsi" w:cs="Times New Roman"/>
          <w:color w:val="101111"/>
        </w:rPr>
        <w:t>project</w:t>
      </w:r>
      <w:proofErr w:type="gramEnd"/>
      <w:r w:rsidRPr="00983B3A">
        <w:rPr>
          <w:rFonts w:asciiTheme="minorHAnsi" w:eastAsiaTheme="minorHAnsi" w:hAnsiTheme="minorHAnsi" w:cs="Times New Roman"/>
          <w:color w:val="101111"/>
        </w:rPr>
        <w:t xml:space="preserve"> documentation provided to Recurve. QA field inspections are scheduled at the customer’s convenience. Customers are encouraged to allow the contractor to attend the inspection to answer questions. If the customer agrees, the contractor will be notified by email between 5 to 14 days of the upcoming inspection. Every effort will be made to accommodate the contractor’s schedule, but the customer’s convenience takes precedence.</w:t>
      </w:r>
    </w:p>
    <w:p w14:paraId="014E2FC7" w14:textId="77777777" w:rsidR="00983B3A" w:rsidRPr="00983B3A" w:rsidRDefault="00983B3A" w:rsidP="00983B3A">
      <w:pPr>
        <w:widowControl/>
        <w:adjustRightInd w:val="0"/>
        <w:rPr>
          <w:rFonts w:asciiTheme="minorHAnsi" w:eastAsiaTheme="minorHAnsi" w:hAnsiTheme="minorHAnsi" w:cs="Times New Roman"/>
          <w:color w:val="101111"/>
        </w:rPr>
      </w:pPr>
    </w:p>
    <w:p w14:paraId="2F8B8AD5" w14:textId="77777777" w:rsidR="00983B3A" w:rsidRPr="00983B3A" w:rsidRDefault="00983B3A" w:rsidP="00983B3A">
      <w:pPr>
        <w:widowControl/>
        <w:adjustRightInd w:val="0"/>
        <w:rPr>
          <w:rFonts w:asciiTheme="minorHAnsi" w:eastAsiaTheme="minorHAnsi" w:hAnsiTheme="minorHAnsi" w:cs="Times New Roman"/>
          <w:color w:val="101111"/>
        </w:rPr>
      </w:pPr>
      <w:r w:rsidRPr="00983B3A">
        <w:rPr>
          <w:rFonts w:asciiTheme="minorHAnsi" w:eastAsiaTheme="minorHAnsi" w:hAnsiTheme="minorHAnsi" w:cs="Times New Roman"/>
          <w:color w:val="101111"/>
        </w:rPr>
        <w:t>Customers have the right to request that the contractor not attend the QA field inspection. In these situations, the contractor will not be notified of the scheduled inspection but will receive the report from the QA team within 15 business days of the inspection.</w:t>
      </w:r>
    </w:p>
    <w:p w14:paraId="1759E74C" w14:textId="77777777" w:rsidR="00983B3A" w:rsidRDefault="00983B3A" w:rsidP="00983B3A">
      <w:pPr>
        <w:pStyle w:val="BodyText"/>
        <w:kinsoku w:val="0"/>
        <w:overflowPunct w:val="0"/>
      </w:pPr>
    </w:p>
    <w:p w14:paraId="6F0B0C63" w14:textId="77777777" w:rsidR="00983B3A" w:rsidRDefault="00983B3A" w:rsidP="00983B3A">
      <w:pPr>
        <w:pStyle w:val="BodyText"/>
        <w:kinsoku w:val="0"/>
        <w:overflowPunct w:val="0"/>
        <w:spacing w:before="11"/>
        <w:rPr>
          <w:sz w:val="16"/>
          <w:szCs w:val="16"/>
        </w:rPr>
      </w:pPr>
    </w:p>
    <w:p w14:paraId="15E715E2" w14:textId="77777777" w:rsidR="00983B3A" w:rsidRPr="00983B3A" w:rsidRDefault="00983B3A" w:rsidP="00983B3A">
      <w:pPr>
        <w:widowControl/>
        <w:adjustRightInd w:val="0"/>
        <w:rPr>
          <w:rFonts w:asciiTheme="minorHAnsi" w:eastAsiaTheme="minorHAnsi" w:hAnsiTheme="minorHAnsi" w:cs="Times New Roman"/>
          <w:b/>
          <w:bCs/>
          <w:color w:val="0F0F0F"/>
          <w:sz w:val="24"/>
          <w:szCs w:val="24"/>
        </w:rPr>
      </w:pPr>
      <w:r w:rsidRPr="00983B3A">
        <w:rPr>
          <w:rFonts w:asciiTheme="minorHAnsi" w:eastAsiaTheme="minorHAnsi" w:hAnsiTheme="minorHAnsi" w:cs="Times New Roman"/>
          <w:b/>
          <w:bCs/>
          <w:color w:val="0F0F0F"/>
          <w:sz w:val="24"/>
          <w:szCs w:val="24"/>
        </w:rPr>
        <w:t>Photo Inspections</w:t>
      </w:r>
    </w:p>
    <w:p w14:paraId="5D3F4E26" w14:textId="77777777" w:rsidR="00983B3A" w:rsidRPr="00983B3A" w:rsidRDefault="00983B3A" w:rsidP="00983B3A">
      <w:pPr>
        <w:widowControl/>
        <w:adjustRightInd w:val="0"/>
        <w:rPr>
          <w:rFonts w:asciiTheme="minorHAnsi" w:eastAsiaTheme="minorHAnsi" w:hAnsiTheme="minorHAnsi" w:cs="Times New Roman"/>
          <w:color w:val="101111"/>
        </w:rPr>
      </w:pPr>
      <w:r w:rsidRPr="00983B3A">
        <w:rPr>
          <w:rFonts w:asciiTheme="minorHAnsi" w:eastAsiaTheme="minorHAnsi" w:hAnsiTheme="minorHAnsi" w:cs="Times New Roman"/>
          <w:color w:val="101111"/>
        </w:rPr>
        <w:t>The contractor is required to take construction photos for each measure installed, which describe the existing conditions as well as the replacement product or measure. MCE expects contractors to take photos throughout the installation process to ensure that each measure completed is supported with photographic documentation. MCE may request construction photos for purposes of conducting a photo inspection at any time, and failure to provide the requested photos may result in higher inspection rates. Taking multiple pictures of each installed measure will help ensure a smooth photo inspection process.</w:t>
      </w:r>
    </w:p>
    <w:p w14:paraId="60A5F9D8" w14:textId="77777777" w:rsidR="00983B3A" w:rsidRDefault="00983B3A" w:rsidP="00983B3A">
      <w:pPr>
        <w:pStyle w:val="BodyText"/>
        <w:kinsoku w:val="0"/>
        <w:overflowPunct w:val="0"/>
      </w:pPr>
    </w:p>
    <w:p w14:paraId="5A6EBED7" w14:textId="77777777" w:rsidR="00983B3A" w:rsidRDefault="00983B3A" w:rsidP="00983B3A">
      <w:pPr>
        <w:pStyle w:val="BodyText"/>
        <w:kinsoku w:val="0"/>
        <w:overflowPunct w:val="0"/>
        <w:spacing w:before="10"/>
        <w:rPr>
          <w:sz w:val="25"/>
          <w:szCs w:val="25"/>
        </w:rPr>
      </w:pPr>
    </w:p>
    <w:p w14:paraId="659C231B" w14:textId="77777777" w:rsidR="00983B3A" w:rsidRDefault="00983B3A" w:rsidP="00983B3A">
      <w:pPr>
        <w:widowControl/>
        <w:adjustRightInd w:val="0"/>
        <w:rPr>
          <w:color w:val="006AA6"/>
        </w:rPr>
      </w:pPr>
      <w:r w:rsidRPr="00983B3A">
        <w:rPr>
          <w:rFonts w:asciiTheme="minorHAnsi" w:eastAsiaTheme="minorHAnsi" w:hAnsiTheme="minorHAnsi" w:cs="Times New Roman"/>
          <w:b/>
          <w:bCs/>
          <w:color w:val="0F0F0F"/>
          <w:sz w:val="24"/>
          <w:szCs w:val="24"/>
        </w:rPr>
        <w:t>QA Inspection Report</w:t>
      </w:r>
    </w:p>
    <w:p w14:paraId="31FBBD51" w14:textId="77777777" w:rsidR="00983B3A" w:rsidRPr="00983B3A" w:rsidRDefault="00983B3A" w:rsidP="00983B3A">
      <w:pPr>
        <w:widowControl/>
        <w:adjustRightInd w:val="0"/>
        <w:rPr>
          <w:rFonts w:asciiTheme="minorHAnsi" w:eastAsiaTheme="minorHAnsi" w:hAnsiTheme="minorHAnsi" w:cs="Times New Roman"/>
          <w:color w:val="101111"/>
        </w:rPr>
      </w:pPr>
      <w:r w:rsidRPr="00983B3A">
        <w:rPr>
          <w:rFonts w:asciiTheme="minorHAnsi" w:eastAsiaTheme="minorHAnsi" w:hAnsiTheme="minorHAnsi" w:cs="Times New Roman"/>
          <w:color w:val="101111"/>
        </w:rPr>
        <w:t>The QA inspection report will provide a summary of all evaluated elements of the project and list any nonconformances identified during the inspection. The report will provide an overall score (scoring criteria described below) of the project and identify it as a pass or fail.</w:t>
      </w:r>
    </w:p>
    <w:p w14:paraId="219AA598" w14:textId="77777777" w:rsidR="00983B3A" w:rsidRPr="00983B3A" w:rsidRDefault="00983B3A" w:rsidP="00983B3A">
      <w:pPr>
        <w:widowControl/>
        <w:adjustRightInd w:val="0"/>
        <w:rPr>
          <w:rFonts w:asciiTheme="minorHAnsi" w:eastAsiaTheme="minorHAnsi" w:hAnsiTheme="minorHAnsi" w:cs="Times New Roman"/>
          <w:color w:val="101111"/>
        </w:rPr>
      </w:pPr>
    </w:p>
    <w:p w14:paraId="44CF718A" w14:textId="77777777" w:rsidR="00983B3A" w:rsidRPr="00983B3A" w:rsidRDefault="00983B3A" w:rsidP="00983B3A">
      <w:pPr>
        <w:widowControl/>
        <w:adjustRightInd w:val="0"/>
        <w:rPr>
          <w:rFonts w:asciiTheme="minorHAnsi" w:eastAsiaTheme="minorHAnsi" w:hAnsiTheme="minorHAnsi" w:cs="Times New Roman"/>
          <w:color w:val="101111"/>
        </w:rPr>
      </w:pPr>
      <w:r w:rsidRPr="00983B3A">
        <w:rPr>
          <w:rFonts w:asciiTheme="minorHAnsi" w:eastAsiaTheme="minorHAnsi" w:hAnsiTheme="minorHAnsi" w:cs="Times New Roman"/>
          <w:color w:val="101111"/>
        </w:rPr>
        <w:t>The report will be provided to the contractor approximately 15 days after the inspection, following an internal review and scoring by the QA Team. The report will be made available to the customer upon a direct request to MCE. The report will contain a score based on the scoring criteria and a list of any nonconformances found during the inspection.</w:t>
      </w:r>
    </w:p>
    <w:sectPr w:rsidR="00983B3A" w:rsidRPr="00983B3A">
      <w:pgSz w:w="12240" w:h="15840"/>
      <w:pgMar w:top="1420" w:right="1320" w:bottom="1000" w:left="1340" w:header="727" w:footer="8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232303" w14:textId="77777777" w:rsidR="004D5032" w:rsidRDefault="004D5032">
      <w:r>
        <w:separator/>
      </w:r>
    </w:p>
  </w:endnote>
  <w:endnote w:type="continuationSeparator" w:id="0">
    <w:p w14:paraId="60474149" w14:textId="77777777" w:rsidR="004D5032" w:rsidRDefault="004D5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81A84" w14:textId="77777777" w:rsidR="004E3FE0" w:rsidRDefault="00AA6038">
    <w:pPr>
      <w:pStyle w:val="BodyText"/>
      <w:spacing w:line="14" w:lineRule="auto"/>
      <w:ind w:left="0"/>
      <w:rPr>
        <w:sz w:val="20"/>
      </w:rPr>
    </w:pPr>
    <w:r>
      <w:rPr>
        <w:noProof/>
      </w:rPr>
      <mc:AlternateContent>
        <mc:Choice Requires="wps">
          <w:drawing>
            <wp:anchor distT="0" distB="0" distL="114300" distR="114300" simplePos="0" relativeHeight="487538688" behindDoc="1" locked="0" layoutInCell="1" allowOverlap="1" wp14:anchorId="308DECDF" wp14:editId="4FC4EF3E">
              <wp:simplePos x="0" y="0"/>
              <wp:positionH relativeFrom="page">
                <wp:posOffset>3775075</wp:posOffset>
              </wp:positionH>
              <wp:positionV relativeFrom="page">
                <wp:posOffset>9406890</wp:posOffset>
              </wp:positionV>
              <wp:extent cx="231140" cy="21145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14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0F036" w14:textId="77777777" w:rsidR="004E3FE0" w:rsidRDefault="004D5032">
                          <w:pPr>
                            <w:pStyle w:val="BodyText"/>
                            <w:spacing w:before="23"/>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DECDF" id="_x0000_t202" coordsize="21600,21600" o:spt="202" path="m,l,21600r21600,l21600,xe">
              <v:stroke joinstyle="miter"/>
              <v:path gradientshapeok="t" o:connecttype="rect"/>
            </v:shapetype>
            <v:shape id="Text Box 1" o:spid="_x0000_s1026" type="#_x0000_t202" style="position:absolute;margin-left:297.25pt;margin-top:740.7pt;width:18.2pt;height:16.65pt;z-index:-157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" filled="f" stroked="f">
              <v:path arrowok="t"/>
              <v:textbox inset="0,0,0,0">
                <w:txbxContent>
                  <w:p w14:paraId="3250F036" w14:textId="77777777" w:rsidR="004E3FE0" w:rsidRDefault="004D5032">
                    <w:pPr>
                      <w:pStyle w:val="BodyText"/>
                      <w:spacing w:before="23"/>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B6734F" w14:textId="77777777" w:rsidR="004D5032" w:rsidRDefault="004D5032">
      <w:r>
        <w:separator/>
      </w:r>
    </w:p>
  </w:footnote>
  <w:footnote w:type="continuationSeparator" w:id="0">
    <w:p w14:paraId="0D0C22DF" w14:textId="77777777" w:rsidR="004D5032" w:rsidRDefault="004D5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702B3" w14:textId="77777777" w:rsidR="00B1569B" w:rsidRDefault="00B1569B">
    <w:pPr>
      <w:pStyle w:val="BodyText"/>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numFmt w:val="bullet"/>
      <w:lvlText w:val="■"/>
      <w:lvlJc w:val="left"/>
      <w:pPr>
        <w:ind w:left="820" w:hanging="720"/>
      </w:pPr>
      <w:rPr>
        <w:rFonts w:ascii="Arial" w:hAnsi="Arial" w:cs="Arial"/>
        <w:b w:val="0"/>
        <w:bCs w:val="0"/>
        <w:color w:val="006AA6"/>
        <w:w w:val="100"/>
        <w:sz w:val="14"/>
        <w:szCs w:val="14"/>
      </w:rPr>
    </w:lvl>
    <w:lvl w:ilvl="1">
      <w:numFmt w:val="bullet"/>
      <w:lvlText w:val="●"/>
      <w:lvlJc w:val="left"/>
      <w:pPr>
        <w:ind w:left="1000" w:hanging="360"/>
      </w:pPr>
      <w:rPr>
        <w:rFonts w:ascii="Arial" w:hAnsi="Arial" w:cs="Arial"/>
        <w:b w:val="0"/>
        <w:bCs w:val="0"/>
        <w:w w:val="100"/>
        <w:sz w:val="22"/>
        <w:szCs w:val="22"/>
      </w:rPr>
    </w:lvl>
    <w:lvl w:ilvl="2">
      <w:numFmt w:val="bullet"/>
      <w:lvlText w:val="•"/>
      <w:lvlJc w:val="left"/>
      <w:pPr>
        <w:ind w:left="1991" w:hanging="360"/>
      </w:pPr>
    </w:lvl>
    <w:lvl w:ilvl="3">
      <w:numFmt w:val="bullet"/>
      <w:lvlText w:val="•"/>
      <w:lvlJc w:val="left"/>
      <w:pPr>
        <w:ind w:left="2982" w:hanging="360"/>
      </w:pPr>
    </w:lvl>
    <w:lvl w:ilvl="4">
      <w:numFmt w:val="bullet"/>
      <w:lvlText w:val="•"/>
      <w:lvlJc w:val="left"/>
      <w:pPr>
        <w:ind w:left="3973" w:hanging="360"/>
      </w:pPr>
    </w:lvl>
    <w:lvl w:ilvl="5">
      <w:numFmt w:val="bullet"/>
      <w:lvlText w:val="•"/>
      <w:lvlJc w:val="left"/>
      <w:pPr>
        <w:ind w:left="4964" w:hanging="360"/>
      </w:pPr>
    </w:lvl>
    <w:lvl w:ilvl="6">
      <w:numFmt w:val="bullet"/>
      <w:lvlText w:val="•"/>
      <w:lvlJc w:val="left"/>
      <w:pPr>
        <w:ind w:left="5955" w:hanging="360"/>
      </w:pPr>
    </w:lvl>
    <w:lvl w:ilvl="7">
      <w:numFmt w:val="bullet"/>
      <w:lvlText w:val="•"/>
      <w:lvlJc w:val="left"/>
      <w:pPr>
        <w:ind w:left="6946" w:hanging="360"/>
      </w:pPr>
    </w:lvl>
    <w:lvl w:ilvl="8">
      <w:numFmt w:val="bullet"/>
      <w:lvlText w:val="•"/>
      <w:lvlJc w:val="left"/>
      <w:pPr>
        <w:ind w:left="7937" w:hanging="360"/>
      </w:pPr>
    </w:lvl>
  </w:abstractNum>
  <w:abstractNum w:abstractNumId="1" w15:restartNumberingAfterBreak="0">
    <w:nsid w:val="0DDA218A"/>
    <w:multiLevelType w:val="hybridMultilevel"/>
    <w:tmpl w:val="D15AF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FE0"/>
    <w:rsid w:val="003433A3"/>
    <w:rsid w:val="004D5032"/>
    <w:rsid w:val="004E3FE0"/>
    <w:rsid w:val="00730AD4"/>
    <w:rsid w:val="007E7339"/>
    <w:rsid w:val="008702D1"/>
    <w:rsid w:val="00983B3A"/>
    <w:rsid w:val="00985C49"/>
    <w:rsid w:val="00AA6038"/>
    <w:rsid w:val="00B1569B"/>
    <w:rsid w:val="00E96B98"/>
    <w:rsid w:val="00EA3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F8C85D"/>
  <w15:docId w15:val="{687490F4-551A-274C-9A4F-536F0514E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next w:val="Normal"/>
    <w:link w:val="Heading1Char"/>
    <w:uiPriority w:val="1"/>
    <w:qFormat/>
    <w:rsid w:val="00983B3A"/>
    <w:pPr>
      <w:adjustRightInd w:val="0"/>
      <w:ind w:left="100"/>
      <w:outlineLvl w:val="0"/>
    </w:pPr>
    <w:rPr>
      <w:rFonts w:eastAsiaTheme="minorEastAsia"/>
      <w:sz w:val="36"/>
      <w:szCs w:val="36"/>
    </w:rPr>
  </w:style>
  <w:style w:type="paragraph" w:styleId="Heading2">
    <w:name w:val="heading 2"/>
    <w:basedOn w:val="Normal"/>
    <w:next w:val="Normal"/>
    <w:link w:val="Heading2Char"/>
    <w:uiPriority w:val="1"/>
    <w:qFormat/>
    <w:rsid w:val="00983B3A"/>
    <w:pPr>
      <w:adjustRightInd w:val="0"/>
      <w:ind w:left="100"/>
      <w:outlineLvl w:val="1"/>
    </w:pPr>
    <w:rPr>
      <w:rFonts w:eastAsiaTheme="minorEastAsi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4"/>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1569B"/>
    <w:pPr>
      <w:tabs>
        <w:tab w:val="center" w:pos="4680"/>
        <w:tab w:val="right" w:pos="9360"/>
      </w:tabs>
    </w:pPr>
  </w:style>
  <w:style w:type="character" w:customStyle="1" w:styleId="HeaderChar">
    <w:name w:val="Header Char"/>
    <w:basedOn w:val="DefaultParagraphFont"/>
    <w:link w:val="Header"/>
    <w:uiPriority w:val="99"/>
    <w:rsid w:val="00B1569B"/>
    <w:rPr>
      <w:rFonts w:ascii="Arial" w:eastAsia="Arial" w:hAnsi="Arial" w:cs="Arial"/>
    </w:rPr>
  </w:style>
  <w:style w:type="paragraph" w:styleId="Footer">
    <w:name w:val="footer"/>
    <w:basedOn w:val="Normal"/>
    <w:link w:val="FooterChar"/>
    <w:uiPriority w:val="99"/>
    <w:unhideWhenUsed/>
    <w:rsid w:val="00B1569B"/>
    <w:pPr>
      <w:tabs>
        <w:tab w:val="center" w:pos="4680"/>
        <w:tab w:val="right" w:pos="9360"/>
      </w:tabs>
    </w:pPr>
  </w:style>
  <w:style w:type="character" w:customStyle="1" w:styleId="FooterChar">
    <w:name w:val="Footer Char"/>
    <w:basedOn w:val="DefaultParagraphFont"/>
    <w:link w:val="Footer"/>
    <w:uiPriority w:val="99"/>
    <w:rsid w:val="00B1569B"/>
    <w:rPr>
      <w:rFonts w:ascii="Arial" w:eastAsia="Arial" w:hAnsi="Arial" w:cs="Arial"/>
    </w:rPr>
  </w:style>
  <w:style w:type="character" w:customStyle="1" w:styleId="Heading1Char">
    <w:name w:val="Heading 1 Char"/>
    <w:basedOn w:val="DefaultParagraphFont"/>
    <w:link w:val="Heading1"/>
    <w:uiPriority w:val="1"/>
    <w:rsid w:val="00983B3A"/>
    <w:rPr>
      <w:rFonts w:ascii="Arial" w:eastAsiaTheme="minorEastAsia" w:hAnsi="Arial" w:cs="Arial"/>
      <w:sz w:val="36"/>
      <w:szCs w:val="36"/>
    </w:rPr>
  </w:style>
  <w:style w:type="character" w:customStyle="1" w:styleId="Heading2Char">
    <w:name w:val="Heading 2 Char"/>
    <w:basedOn w:val="DefaultParagraphFont"/>
    <w:link w:val="Heading2"/>
    <w:uiPriority w:val="1"/>
    <w:rsid w:val="00983B3A"/>
    <w:rPr>
      <w:rFonts w:ascii="Arial" w:eastAsiaTheme="minorEastAsia" w:hAnsi="Arial" w:cs="Arial"/>
      <w:sz w:val="28"/>
      <w:szCs w:val="28"/>
    </w:rPr>
  </w:style>
  <w:style w:type="character" w:styleId="CommentReference">
    <w:name w:val="annotation reference"/>
    <w:basedOn w:val="DefaultParagraphFont"/>
    <w:uiPriority w:val="99"/>
    <w:semiHidden/>
    <w:unhideWhenUsed/>
    <w:rsid w:val="00983B3A"/>
    <w:rPr>
      <w:sz w:val="16"/>
      <w:szCs w:val="16"/>
    </w:rPr>
  </w:style>
  <w:style w:type="paragraph" w:styleId="CommentText">
    <w:name w:val="annotation text"/>
    <w:basedOn w:val="Normal"/>
    <w:link w:val="CommentTextChar"/>
    <w:uiPriority w:val="99"/>
    <w:semiHidden/>
    <w:unhideWhenUsed/>
    <w:rsid w:val="00983B3A"/>
    <w:rPr>
      <w:sz w:val="20"/>
      <w:szCs w:val="20"/>
    </w:rPr>
  </w:style>
  <w:style w:type="character" w:customStyle="1" w:styleId="CommentTextChar">
    <w:name w:val="Comment Text Char"/>
    <w:basedOn w:val="DefaultParagraphFont"/>
    <w:link w:val="CommentText"/>
    <w:uiPriority w:val="99"/>
    <w:semiHidden/>
    <w:rsid w:val="00983B3A"/>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983B3A"/>
    <w:rPr>
      <w:b/>
      <w:bCs/>
    </w:rPr>
  </w:style>
  <w:style w:type="character" w:customStyle="1" w:styleId="CommentSubjectChar">
    <w:name w:val="Comment Subject Char"/>
    <w:basedOn w:val="CommentTextChar"/>
    <w:link w:val="CommentSubject"/>
    <w:uiPriority w:val="99"/>
    <w:semiHidden/>
    <w:rsid w:val="00983B3A"/>
    <w:rPr>
      <w:rFonts w:ascii="Arial" w:eastAsia="Arial" w:hAnsi="Arial" w:cs="Arial"/>
      <w:b/>
      <w:bCs/>
      <w:sz w:val="20"/>
      <w:szCs w:val="20"/>
    </w:rPr>
  </w:style>
  <w:style w:type="paragraph" w:styleId="BalloonText">
    <w:name w:val="Balloon Text"/>
    <w:basedOn w:val="Normal"/>
    <w:link w:val="BalloonTextChar"/>
    <w:uiPriority w:val="99"/>
    <w:semiHidden/>
    <w:unhideWhenUsed/>
    <w:rsid w:val="00983B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B3A"/>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2052</Words>
  <Characters>11698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Microsoft Word - MCE_CommercialEfficiencyMarketplace_ProgramManual.docx</vt:lpstr>
    </vt:vector>
  </TitlesOfParts>
  <Company/>
  <LinksUpToDate>false</LinksUpToDate>
  <CharactersWithSpaces>13723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MCE_CommercialEfficiencyMarketplace_ProgramManual.docx</dc:title>
  <dc:creator>Joseph Lande</dc:creator>
  <cp:lastModifiedBy>Jenn Kreutzer</cp:lastModifiedBy>
  <cp:revision>4</cp:revision>
  <dcterms:created xsi:type="dcterms:W3CDTF">2020-11-23T18:54:00Z</dcterms:created>
  <dcterms:modified xsi:type="dcterms:W3CDTF">2020-11-23T22:59:00Z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2020-11-18T00:00:00Z</vt:filetime>
  </property>
  <property fmtid="{D5CDD505-2E9C-101B-9397-08002B2CF9AE}" pid="3" name="Creator">
    <vt:lpwstr>Word</vt:lpwstr>
  </property>
  <property fmtid="{D5CDD505-2E9C-101B-9397-08002B2CF9AE}" pid="4" name="LastSaved">
    <vt:filetime>2020-11-23T00:00:00Z</vt:filetime>
  </property>
</Properties>
</file>