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99F2" w14:textId="77777777" w:rsidR="00436DC3" w:rsidRPr="00436DC3" w:rsidRDefault="00436DC3" w:rsidP="00436DC3">
      <w:pPr>
        <w:spacing w:before="3500"/>
        <w:ind w:left="245"/>
        <w:jc w:val="center"/>
        <w:rPr>
          <w:rFonts w:ascii="Arial" w:eastAsia="Calibri" w:hAnsi="Arial"/>
          <w:b/>
          <w:noProof/>
          <w:sz w:val="48"/>
          <w:szCs w:val="32"/>
        </w:rPr>
      </w:pPr>
      <w:bookmarkStart w:id="0" w:name="_GoBack"/>
      <w:bookmarkEnd w:id="0"/>
      <w:r w:rsidRPr="00436DC3">
        <w:rPr>
          <w:rFonts w:ascii="Arial" w:eastAsia="Calibri" w:hAnsi="Arial"/>
          <w:b/>
          <w:noProof/>
          <w:sz w:val="48"/>
          <w:szCs w:val="32"/>
        </w:rPr>
        <w:t>Pacific Gas and Electric Company</w:t>
      </w:r>
    </w:p>
    <w:p w14:paraId="6AD199F3" w14:textId="77777777" w:rsidR="00436DC3" w:rsidRPr="00436DC3" w:rsidRDefault="00521CF9" w:rsidP="00436DC3">
      <w:pPr>
        <w:shd w:val="clear" w:color="auto" w:fill="000000"/>
        <w:tabs>
          <w:tab w:val="right" w:pos="9270"/>
        </w:tabs>
        <w:spacing w:before="240" w:after="240"/>
        <w:ind w:left="-1530" w:right="-1440"/>
        <w:jc w:val="center"/>
        <w:rPr>
          <w:rFonts w:ascii="Arial Narrow" w:eastAsia="Calibri" w:hAnsi="Arial Narrow"/>
          <w:b/>
          <w:sz w:val="72"/>
          <w:szCs w:val="52"/>
        </w:rPr>
      </w:pPr>
      <w:r>
        <w:rPr>
          <w:rFonts w:ascii="Arial Narrow" w:eastAsia="Calibri" w:hAnsi="Arial Narrow"/>
          <w:b/>
          <w:sz w:val="72"/>
          <w:szCs w:val="52"/>
        </w:rPr>
        <w:t>2015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</w:t>
      </w:r>
      <w:r>
        <w:rPr>
          <w:rFonts w:ascii="Arial Narrow" w:eastAsia="Calibri" w:hAnsi="Arial Narrow"/>
          <w:b/>
          <w:sz w:val="72"/>
          <w:szCs w:val="52"/>
        </w:rPr>
        <w:t>ES&amp;S</w:t>
      </w:r>
      <w:r w:rsidR="004D0370">
        <w:rPr>
          <w:rFonts w:ascii="Arial Narrow" w:eastAsia="Calibri" w:hAnsi="Arial Narrow"/>
          <w:b/>
          <w:sz w:val="72"/>
          <w:szCs w:val="52"/>
        </w:rPr>
        <w:t xml:space="preserve"> </w:t>
      </w:r>
      <w:r>
        <w:rPr>
          <w:rFonts w:ascii="Arial Narrow" w:eastAsia="Calibri" w:hAnsi="Arial Narrow"/>
          <w:b/>
          <w:sz w:val="72"/>
          <w:szCs w:val="52"/>
        </w:rPr>
        <w:t>Time Keeping</w:t>
      </w:r>
      <w:r w:rsidR="00436DC3" w:rsidRPr="00436DC3">
        <w:rPr>
          <w:rFonts w:ascii="Arial Narrow" w:eastAsia="Calibri" w:hAnsi="Arial Narrow"/>
          <w:b/>
          <w:sz w:val="72"/>
          <w:szCs w:val="52"/>
        </w:rPr>
        <w:t xml:space="preserve"> Guidelines</w:t>
      </w:r>
    </w:p>
    <w:p w14:paraId="6AD199F4" w14:textId="6F88A742" w:rsidR="00436DC3" w:rsidRPr="00436DC3" w:rsidRDefault="00436DC3" w:rsidP="00436DC3">
      <w:pPr>
        <w:spacing w:before="480"/>
        <w:ind w:left="245"/>
        <w:jc w:val="right"/>
        <w:rPr>
          <w:rFonts w:ascii="Arial Narrow" w:eastAsia="Calibri" w:hAnsi="Arial Narrow"/>
          <w:sz w:val="40"/>
          <w:szCs w:val="40"/>
        </w:rPr>
      </w:pPr>
      <w:r w:rsidRPr="00436DC3">
        <w:rPr>
          <w:rFonts w:ascii="Arial Narrow" w:eastAsia="Calibri" w:hAnsi="Arial Narrow"/>
          <w:sz w:val="40"/>
          <w:szCs w:val="40"/>
        </w:rPr>
        <w:t>Version 1.</w:t>
      </w:r>
      <w:r w:rsidR="000D682E">
        <w:rPr>
          <w:rFonts w:ascii="Arial Narrow" w:eastAsia="Calibri" w:hAnsi="Arial Narrow"/>
          <w:sz w:val="40"/>
          <w:szCs w:val="40"/>
        </w:rPr>
        <w:t>3</w:t>
      </w:r>
      <w:r w:rsidRPr="00436DC3">
        <w:rPr>
          <w:rFonts w:ascii="Arial Narrow" w:eastAsia="Calibri" w:hAnsi="Arial Narrow"/>
          <w:sz w:val="40"/>
          <w:szCs w:val="40"/>
        </w:rPr>
        <w:br/>
      </w:r>
      <w:r w:rsidR="000D682E">
        <w:rPr>
          <w:rFonts w:ascii="Arial Narrow" w:eastAsia="Calibri" w:hAnsi="Arial Narrow"/>
          <w:sz w:val="40"/>
          <w:szCs w:val="40"/>
        </w:rPr>
        <w:t>February 20, 2015</w:t>
      </w:r>
    </w:p>
    <w:p w14:paraId="6AD199F5" w14:textId="77777777" w:rsidR="00521CF9" w:rsidRDefault="00521CF9">
      <w:pPr>
        <w:rPr>
          <w:rFonts w:ascii="Calibri" w:hAnsi="Calibri"/>
          <w:b/>
          <w:sz w:val="28"/>
          <w:szCs w:val="22"/>
        </w:rPr>
        <w:sectPr w:rsidR="00521CF9" w:rsidSect="00436DC3">
          <w:headerReference w:type="default" r:id="rId12"/>
          <w:footerReference w:type="default" r:id="rId13"/>
          <w:pgSz w:w="12240" w:h="15840"/>
          <w:pgMar w:top="578" w:right="1152" w:bottom="1152" w:left="1152" w:header="576" w:footer="720" w:gutter="0"/>
          <w:pgNumType w:fmt="lowerRoman"/>
          <w:cols w:space="720"/>
          <w:docGrid w:linePitch="360"/>
        </w:sectPr>
      </w:pPr>
    </w:p>
    <w:sdt>
      <w:sdtPr>
        <w:rPr>
          <w:rFonts w:ascii="Arial Narrow" w:eastAsia="Calibri" w:hAnsi="Arial Narrow"/>
          <w:b/>
          <w:sz w:val="36"/>
          <w:szCs w:val="22"/>
        </w:rPr>
        <w:id w:val="19861213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Cs/>
          <w:noProof/>
          <w:sz w:val="24"/>
          <w:szCs w:val="24"/>
        </w:rPr>
      </w:sdtEndPr>
      <w:sdtContent>
        <w:p w14:paraId="6AD199F6" w14:textId="77777777" w:rsidR="009E26A9" w:rsidRPr="008D249C" w:rsidRDefault="009E26A9" w:rsidP="008D249C">
          <w:pPr>
            <w:keepNext/>
            <w:spacing w:after="240" w:line="276" w:lineRule="auto"/>
            <w:rPr>
              <w:rFonts w:ascii="Arial Narrow" w:eastAsia="Calibri" w:hAnsi="Arial Narrow"/>
              <w:b/>
              <w:sz w:val="36"/>
              <w:szCs w:val="22"/>
            </w:rPr>
          </w:pPr>
          <w:r w:rsidRPr="008D249C">
            <w:rPr>
              <w:rFonts w:ascii="Arial Narrow" w:eastAsia="Calibri" w:hAnsi="Arial Narrow"/>
              <w:b/>
              <w:sz w:val="36"/>
              <w:szCs w:val="22"/>
            </w:rPr>
            <w:t>Table of Contents</w:t>
          </w:r>
        </w:p>
        <w:p w14:paraId="6AD199F7" w14:textId="77777777" w:rsidR="008D249C" w:rsidRPr="00C66B13" w:rsidRDefault="008D249C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C66B13">
            <w:rPr>
              <w:rFonts w:ascii="Arial" w:hAnsi="Arial" w:cs="Arial"/>
            </w:rPr>
            <w:fldChar w:fldCharType="begin"/>
          </w:r>
          <w:r w:rsidRPr="00C66B13">
            <w:rPr>
              <w:rFonts w:ascii="Arial" w:hAnsi="Arial" w:cs="Arial"/>
            </w:rPr>
            <w:instrText xml:space="preserve"> TOC \o "1-3" \h \z \u </w:instrText>
          </w:r>
          <w:r w:rsidRPr="00C66B13">
            <w:rPr>
              <w:rFonts w:ascii="Arial" w:hAnsi="Arial" w:cs="Arial"/>
            </w:rPr>
            <w:fldChar w:fldCharType="separate"/>
          </w:r>
          <w:hyperlink w:anchor="_Toc406142487" w:history="1">
            <w:r w:rsidRPr="00C66B13">
              <w:rPr>
                <w:rStyle w:val="Hyperlink"/>
                <w:rFonts w:ascii="Arial" w:eastAsiaTheme="majorEastAsia" w:hAnsi="Arial" w:cs="Arial"/>
                <w:noProof/>
              </w:rPr>
              <w:t>ES&amp;S Operations</w:t>
            </w:r>
            <w:r w:rsidRPr="00C66B13">
              <w:rPr>
                <w:rFonts w:ascii="Arial" w:hAnsi="Arial" w:cs="Arial"/>
                <w:noProof/>
                <w:webHidden/>
              </w:rPr>
              <w:tab/>
            </w:r>
            <w:r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Pr="00C66B13">
              <w:rPr>
                <w:rFonts w:ascii="Arial" w:hAnsi="Arial" w:cs="Arial"/>
                <w:noProof/>
                <w:webHidden/>
              </w:rPr>
              <w:instrText xml:space="preserve"> PAGEREF _Toc406142487 \h </w:instrText>
            </w:r>
            <w:r w:rsidRPr="00C66B13">
              <w:rPr>
                <w:rFonts w:ascii="Arial" w:hAnsi="Arial" w:cs="Arial"/>
                <w:noProof/>
                <w:webHidden/>
              </w:rPr>
            </w:r>
            <w:r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1</w:t>
            </w:r>
            <w:r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8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88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CEE 2013 - 2014 Program Years (Balancing Account)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_Toc406142488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3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9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89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On-Bill Financing (OBF) (Balancing Account)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_Toc406142489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4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A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0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Demand Response (DR) (Balancing Account)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_Toc406142490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4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B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1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Non- Balancing Work (Prg IV)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_Toc406142491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5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C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2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Business Attraction and Retention (Prg FK)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_Toc406142492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5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D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3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Time Varying Pricing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_Toc406142493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6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E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4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Electric Outreach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_Toc406142494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6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9FF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5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Gas Outreach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_Toc406142495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6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A00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6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Pipeline Pathways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_Toc406142496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7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A01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7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Storms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_Toc406142497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8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A02" w14:textId="77777777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8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Unique Situations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_Toc406142498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8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A03" w14:textId="3176E2F0" w:rsidR="008D249C" w:rsidRPr="00C66B13" w:rsidRDefault="00124C83">
          <w:pPr>
            <w:pStyle w:val="TOC1"/>
            <w:tabs>
              <w:tab w:val="right" w:leader="dot" w:pos="9926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406142499" w:history="1"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 xml:space="preserve">ES&amp;S Leadership </w:t>
            </w:r>
            <w:r w:rsidR="00F76B8C">
              <w:rPr>
                <w:rStyle w:val="Hyperlink"/>
                <w:rFonts w:ascii="Arial" w:eastAsiaTheme="majorEastAsia" w:hAnsi="Arial" w:cs="Arial"/>
                <w:noProof/>
              </w:rPr>
              <w:t xml:space="preserve">&amp; Admin </w:t>
            </w:r>
            <w:r w:rsidR="008D249C" w:rsidRPr="00C66B13">
              <w:rPr>
                <w:rStyle w:val="Hyperlink"/>
                <w:rFonts w:ascii="Arial" w:eastAsiaTheme="majorEastAsia" w:hAnsi="Arial" w:cs="Arial"/>
                <w:noProof/>
              </w:rPr>
              <w:t>Charging Guidelines</w:t>
            </w:r>
            <w:r w:rsidR="008D249C" w:rsidRPr="00C66B13">
              <w:rPr>
                <w:rFonts w:ascii="Arial" w:hAnsi="Arial" w:cs="Arial"/>
                <w:noProof/>
                <w:webHidden/>
              </w:rPr>
              <w:tab/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begin"/>
            </w:r>
            <w:r w:rsidR="008D249C" w:rsidRPr="00C66B13">
              <w:rPr>
                <w:rFonts w:ascii="Arial" w:hAnsi="Arial" w:cs="Arial"/>
                <w:noProof/>
                <w:webHidden/>
              </w:rPr>
              <w:instrText xml:space="preserve"> PAGEREF _Toc406142499 \h </w:instrText>
            </w:r>
            <w:r w:rsidR="008D249C" w:rsidRPr="00C66B13">
              <w:rPr>
                <w:rFonts w:ascii="Arial" w:hAnsi="Arial" w:cs="Arial"/>
                <w:noProof/>
                <w:webHidden/>
              </w:rPr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370">
              <w:rPr>
                <w:rFonts w:ascii="Arial" w:hAnsi="Arial" w:cs="Arial"/>
                <w:noProof/>
                <w:webHidden/>
              </w:rPr>
              <w:t>9</w:t>
            </w:r>
            <w:r w:rsidR="008D249C" w:rsidRPr="00C66B1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AD19A04" w14:textId="77777777" w:rsidR="009E26A9" w:rsidRDefault="008D249C">
          <w:r w:rsidRPr="00C66B13">
            <w:rPr>
              <w:rFonts w:ascii="Arial" w:hAnsi="Arial" w:cs="Arial"/>
            </w:rPr>
            <w:fldChar w:fldCharType="end"/>
          </w:r>
        </w:p>
      </w:sdtContent>
    </w:sdt>
    <w:p w14:paraId="6AD19A05" w14:textId="77777777" w:rsidR="00C66B13" w:rsidRDefault="00C66B13">
      <w:pPr>
        <w:rPr>
          <w:rFonts w:ascii="Arial Narrow" w:hAnsi="Arial Narrow"/>
          <w:bCs/>
          <w:color w:val="FFFFFF" w:themeColor="background1"/>
          <w:sz w:val="36"/>
          <w:szCs w:val="36"/>
        </w:rPr>
        <w:sectPr w:rsidR="00C66B13" w:rsidSect="00431F32">
          <w:pgSz w:w="12240" w:h="15840"/>
          <w:pgMar w:top="578" w:right="1152" w:bottom="1152" w:left="1152" w:header="576" w:footer="720" w:gutter="0"/>
          <w:pgNumType w:start="1"/>
          <w:cols w:space="720"/>
          <w:docGrid w:linePitch="360"/>
        </w:sectPr>
      </w:pPr>
    </w:p>
    <w:p w14:paraId="6AD19A06" w14:textId="77777777" w:rsidR="004B0CCE" w:rsidRPr="004E080C" w:rsidRDefault="00AB012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" w:name="_Toc406142487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ES&amp;S Operations</w:t>
      </w:r>
      <w:bookmarkEnd w:id="1"/>
    </w:p>
    <w:p w14:paraId="6AD19A07" w14:textId="77777777" w:rsidR="00AB012F" w:rsidRPr="001B2D50" w:rsidRDefault="00AB012F" w:rsidP="00A36510">
      <w:pPr>
        <w:rPr>
          <w:rFonts w:ascii="Arial" w:hAnsi="Arial" w:cs="Arial"/>
          <w:sz w:val="20"/>
          <w:szCs w:val="20"/>
        </w:rPr>
      </w:pPr>
    </w:p>
    <w:p w14:paraId="6AD19A08" w14:textId="77777777" w:rsidR="00D20587" w:rsidRPr="001B2D50" w:rsidRDefault="00E1455B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 xml:space="preserve">ES&amp;S uses </w:t>
      </w:r>
      <w:r w:rsidR="00110872" w:rsidRPr="001B2D50">
        <w:rPr>
          <w:rFonts w:ascii="Arial" w:hAnsi="Arial" w:cs="Arial"/>
          <w:b/>
          <w:sz w:val="20"/>
          <w:szCs w:val="20"/>
        </w:rPr>
        <w:t>PG&amp;E @ Work for Me Time Entry Application</w:t>
      </w:r>
      <w:r w:rsidRPr="001B2D50">
        <w:rPr>
          <w:rFonts w:ascii="Arial" w:hAnsi="Arial" w:cs="Arial"/>
          <w:sz w:val="20"/>
          <w:szCs w:val="20"/>
        </w:rPr>
        <w:t xml:space="preserve"> to charge time against the various programs and initiatives the department is involved in. </w:t>
      </w:r>
      <w:r w:rsidR="0088759F" w:rsidRPr="001B2D50">
        <w:rPr>
          <w:rFonts w:ascii="Arial" w:hAnsi="Arial" w:cs="Arial"/>
          <w:sz w:val="20"/>
          <w:szCs w:val="20"/>
        </w:rPr>
        <w:t>It is</w:t>
      </w:r>
      <w:r w:rsidR="00D20587" w:rsidRPr="001B2D50">
        <w:rPr>
          <w:rFonts w:ascii="Arial" w:hAnsi="Arial" w:cs="Arial"/>
          <w:sz w:val="20"/>
          <w:szCs w:val="20"/>
        </w:rPr>
        <w:t xml:space="preserve"> structured by </w:t>
      </w:r>
      <w:r w:rsidR="00110872" w:rsidRPr="001B2D50">
        <w:rPr>
          <w:rFonts w:ascii="Arial" w:hAnsi="Arial" w:cs="Arial"/>
          <w:sz w:val="20"/>
          <w:szCs w:val="20"/>
        </w:rPr>
        <w:t>Activity Type, Order Number and Type</w:t>
      </w:r>
      <w:r w:rsidR="00D20587" w:rsidRPr="001B2D50">
        <w:rPr>
          <w:rFonts w:ascii="Arial" w:hAnsi="Arial" w:cs="Arial"/>
          <w:sz w:val="20"/>
          <w:szCs w:val="20"/>
        </w:rPr>
        <w:t xml:space="preserve">. This document </w:t>
      </w:r>
      <w:r w:rsidR="00D6459B" w:rsidRPr="001B2D50">
        <w:rPr>
          <w:rFonts w:ascii="Arial" w:hAnsi="Arial" w:cs="Arial"/>
          <w:sz w:val="20"/>
          <w:szCs w:val="20"/>
        </w:rPr>
        <w:t>serves as timekeeping</w:t>
      </w:r>
      <w:r w:rsidR="0088759F" w:rsidRPr="001B2D50">
        <w:rPr>
          <w:rFonts w:ascii="Arial" w:hAnsi="Arial" w:cs="Arial"/>
          <w:sz w:val="20"/>
          <w:szCs w:val="20"/>
        </w:rPr>
        <w:t xml:space="preserve"> governance for ES&amp;S</w:t>
      </w:r>
      <w:r w:rsidR="00D6459B" w:rsidRPr="001B2D50">
        <w:rPr>
          <w:rFonts w:ascii="Arial" w:hAnsi="Arial" w:cs="Arial"/>
          <w:sz w:val="20"/>
          <w:szCs w:val="20"/>
        </w:rPr>
        <w:t xml:space="preserve"> in addition to the Web Training Course 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TIME-0005WBT (</w:t>
      </w:r>
      <w:r w:rsidR="00796BCF" w:rsidRPr="001B2D50">
        <w:rPr>
          <w:rFonts w:ascii="Arial" w:hAnsi="Arial" w:cs="Arial"/>
          <w:b/>
          <w:bCs/>
          <w:sz w:val="20"/>
          <w:szCs w:val="20"/>
        </w:rPr>
        <w:t>Self-Service Time Entry and Approval</w:t>
      </w:r>
      <w:r w:rsidR="00B77D23" w:rsidRPr="001B2D50">
        <w:rPr>
          <w:rFonts w:ascii="Arial" w:hAnsi="Arial" w:cs="Arial"/>
          <w:b/>
          <w:bCs/>
          <w:sz w:val="20"/>
          <w:szCs w:val="20"/>
        </w:rPr>
        <w:t>)</w:t>
      </w:r>
      <w:r w:rsidR="00D6459B" w:rsidRPr="001B2D50">
        <w:rPr>
          <w:rFonts w:ascii="Arial" w:hAnsi="Arial" w:cs="Arial"/>
          <w:sz w:val="20"/>
          <w:szCs w:val="20"/>
        </w:rPr>
        <w:t xml:space="preserve"> in My Learning</w:t>
      </w:r>
      <w:r w:rsidR="00D20587" w:rsidRPr="001B2D50">
        <w:rPr>
          <w:rFonts w:ascii="Arial" w:hAnsi="Arial" w:cs="Arial"/>
          <w:sz w:val="20"/>
          <w:szCs w:val="20"/>
        </w:rPr>
        <w:t>.</w:t>
      </w:r>
      <w:r w:rsidR="00A57152" w:rsidRPr="001B2D50">
        <w:rPr>
          <w:rFonts w:ascii="Arial" w:hAnsi="Arial" w:cs="Arial"/>
          <w:sz w:val="20"/>
          <w:szCs w:val="20"/>
        </w:rPr>
        <w:t xml:space="preserve"> </w:t>
      </w:r>
      <w:r w:rsidR="0088759F" w:rsidRPr="001B2D50">
        <w:rPr>
          <w:rFonts w:ascii="Arial" w:hAnsi="Arial" w:cs="Arial"/>
          <w:sz w:val="20"/>
          <w:szCs w:val="20"/>
        </w:rPr>
        <w:t>Nearly</w:t>
      </w:r>
      <w:r w:rsidR="00A57152" w:rsidRPr="001B2D50">
        <w:rPr>
          <w:rFonts w:ascii="Arial" w:hAnsi="Arial" w:cs="Arial"/>
          <w:sz w:val="20"/>
          <w:szCs w:val="20"/>
        </w:rPr>
        <w:t xml:space="preserve"> all of the timekeeping categories described in this document apply to </w:t>
      </w:r>
      <w:r w:rsidR="00AB012F" w:rsidRPr="001B2D50">
        <w:rPr>
          <w:rFonts w:ascii="Arial" w:hAnsi="Arial" w:cs="Arial"/>
          <w:sz w:val="20"/>
          <w:szCs w:val="20"/>
        </w:rPr>
        <w:t>ES&amp;S</w:t>
      </w:r>
      <w:r w:rsidR="009E237B" w:rsidRPr="001B2D50">
        <w:rPr>
          <w:rFonts w:ascii="Arial" w:hAnsi="Arial" w:cs="Arial"/>
          <w:sz w:val="20"/>
          <w:szCs w:val="20"/>
        </w:rPr>
        <w:t>;</w:t>
      </w:r>
      <w:r w:rsidR="00A57152" w:rsidRPr="001B2D50">
        <w:rPr>
          <w:rFonts w:ascii="Arial" w:hAnsi="Arial" w:cs="Arial"/>
          <w:sz w:val="20"/>
          <w:szCs w:val="20"/>
        </w:rPr>
        <w:t xml:space="preserve"> there may be some minor differences with</w:t>
      </w:r>
      <w:r w:rsidR="00596417" w:rsidRPr="001B2D50">
        <w:rPr>
          <w:rFonts w:ascii="Arial" w:hAnsi="Arial" w:cs="Arial"/>
          <w:sz w:val="20"/>
          <w:szCs w:val="20"/>
        </w:rPr>
        <w:t>in</w:t>
      </w:r>
      <w:r w:rsidR="00A57152" w:rsidRPr="001B2D50">
        <w:rPr>
          <w:rFonts w:ascii="Arial" w:hAnsi="Arial" w:cs="Arial"/>
          <w:sz w:val="20"/>
          <w:szCs w:val="20"/>
        </w:rPr>
        <w:t xml:space="preserve"> your a</w:t>
      </w:r>
      <w:r w:rsidR="00991E1F" w:rsidRPr="001B2D50">
        <w:rPr>
          <w:rFonts w:ascii="Arial" w:hAnsi="Arial" w:cs="Arial"/>
          <w:sz w:val="20"/>
          <w:szCs w:val="20"/>
        </w:rPr>
        <w:t xml:space="preserve">rea. </w:t>
      </w:r>
      <w:r w:rsidR="001B71DE" w:rsidRPr="001B2D50">
        <w:rPr>
          <w:rFonts w:ascii="Arial" w:hAnsi="Arial" w:cs="Arial"/>
          <w:sz w:val="20"/>
          <w:szCs w:val="20"/>
        </w:rPr>
        <w:t xml:space="preserve"> The table below summarizes the </w:t>
      </w:r>
      <w:r w:rsidR="0088759F" w:rsidRPr="001B2D50">
        <w:rPr>
          <w:rFonts w:ascii="Arial" w:hAnsi="Arial" w:cs="Arial"/>
          <w:sz w:val="20"/>
          <w:szCs w:val="20"/>
        </w:rPr>
        <w:t xml:space="preserve">current WMM </w:t>
      </w:r>
      <w:r w:rsidR="001B71DE" w:rsidRPr="001B2D50">
        <w:rPr>
          <w:rFonts w:ascii="Arial" w:hAnsi="Arial" w:cs="Arial"/>
          <w:sz w:val="20"/>
          <w:szCs w:val="20"/>
        </w:rPr>
        <w:t>structure.</w:t>
      </w:r>
    </w:p>
    <w:p w14:paraId="6AD19A09" w14:textId="77777777" w:rsidR="009251FE" w:rsidRPr="001B2D50" w:rsidRDefault="009251FE" w:rsidP="00A36510">
      <w:pPr>
        <w:rPr>
          <w:rFonts w:ascii="Arial" w:hAnsi="Arial" w:cs="Arial"/>
          <w:b/>
          <w:sz w:val="20"/>
          <w:szCs w:val="20"/>
        </w:rPr>
      </w:pPr>
    </w:p>
    <w:p w14:paraId="6AD19A0A" w14:textId="77777777" w:rsidR="00734618" w:rsidRPr="001B2D50" w:rsidRDefault="00991E1F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1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– </w:t>
      </w:r>
      <w:r w:rsidR="00B77D23" w:rsidRPr="001B2D50">
        <w:rPr>
          <w:rFonts w:ascii="Arial" w:hAnsi="Arial" w:cs="Arial"/>
          <w:b/>
          <w:sz w:val="20"/>
          <w:szCs w:val="20"/>
        </w:rPr>
        <w:t>Order</w:t>
      </w:r>
      <w:r w:rsidR="00734618" w:rsidRPr="001B2D50">
        <w:rPr>
          <w:rFonts w:ascii="Arial" w:hAnsi="Arial" w:cs="Arial"/>
          <w:b/>
          <w:sz w:val="20"/>
          <w:szCs w:val="20"/>
        </w:rPr>
        <w:t xml:space="preserve"> Structure</w:t>
      </w:r>
    </w:p>
    <w:p w14:paraId="6AD19A0B" w14:textId="77777777" w:rsidR="004E1E6B" w:rsidRPr="001B2D50" w:rsidRDefault="004E1E6B" w:rsidP="00A36510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06"/>
        <w:gridCol w:w="2646"/>
        <w:gridCol w:w="2877"/>
        <w:gridCol w:w="3023"/>
      </w:tblGrid>
      <w:tr w:rsidR="001D3A18" w14:paraId="6AD19A10" w14:textId="77777777" w:rsidTr="003E760A">
        <w:trPr>
          <w:trHeight w:val="615"/>
        </w:trPr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C" w14:textId="77777777" w:rsidR="001D3A18" w:rsidRPr="00431F32" w:rsidRDefault="001D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Type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AD19A0D" w14:textId="77777777" w:rsidR="001D3A18" w:rsidRPr="00431F32" w:rsidRDefault="001D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Attendance / Absence Type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69B"/>
            <w:vAlign w:val="center"/>
            <w:hideMark/>
          </w:tcPr>
          <w:p w14:paraId="6AD19A0E" w14:textId="77777777" w:rsidR="001D3A18" w:rsidRPr="00431F32" w:rsidRDefault="001D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Work Category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6AD19A0F" w14:textId="77777777" w:rsidR="001D3A18" w:rsidRPr="00431F32" w:rsidRDefault="001D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</w:p>
        </w:tc>
      </w:tr>
      <w:tr w:rsidR="001D3A18" w14:paraId="6AD19A15" w14:textId="77777777" w:rsidTr="003E760A">
        <w:trPr>
          <w:trHeight w:val="2160"/>
        </w:trPr>
        <w:tc>
          <w:tcPr>
            <w:tcW w:w="79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11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Administrative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2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Administration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3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14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General administrative tasks, reading general email, timecards, staff meetings in general (unless it is broken out by productive categories), Attending  personal development trainings not related to a specific program type, Participation in safety meetings and activies, Participation in  PG&amp;E sanctioned event where no PG&amp;E business topics are discussed or presented (e.g. volunteering at Food Bank)</w:t>
            </w:r>
          </w:p>
        </w:tc>
      </w:tr>
      <w:tr w:rsidR="003E760A" w14:paraId="0BFC269B" w14:textId="77777777" w:rsidTr="003E760A">
        <w:trPr>
          <w:trHeight w:val="187"/>
        </w:trPr>
        <w:tc>
          <w:tcPr>
            <w:tcW w:w="79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</w:tcPr>
          <w:p w14:paraId="565235BB" w14:textId="4D91813B" w:rsidR="003E760A" w:rsidRPr="00431F32" w:rsidRDefault="003E760A" w:rsidP="00F17F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Non-Productive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3D8C" w14:textId="6361B710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Safety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F768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51890" w14:textId="10607B1E" w:rsidR="003E760A" w:rsidRPr="00431F32" w:rsidRDefault="003E760A" w:rsidP="00244A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USE THE “SAFETY ACTIVITIES” OPTION IN THE SAP DROP “ATTENDANCE TYPE” DROP-DOWN</w:t>
            </w:r>
          </w:p>
        </w:tc>
      </w:tr>
      <w:tr w:rsidR="003E760A" w14:paraId="6AD19A1A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16" w14:textId="7BDFA388" w:rsidR="003E760A" w:rsidRPr="00431F32" w:rsidRDefault="003E76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7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Floating Holiday</w:t>
            </w:r>
          </w:p>
        </w:tc>
        <w:tc>
          <w:tcPr>
            <w:tcW w:w="1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8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19" w14:textId="66F72CC6" w:rsidR="003E760A" w:rsidRPr="00431F32" w:rsidRDefault="003E760A" w:rsidP="00244A3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1F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1B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C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Company Holiday - Paid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1D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1E" w14:textId="543B782B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24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20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1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Sick Relative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2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23" w14:textId="087DEC61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29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25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6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Sick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7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28" w14:textId="61E20826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2E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2A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B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Vacation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2C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2D" w14:textId="375F7B83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33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2F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0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Vacation Buy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1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32" w14:textId="65122508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38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34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5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Funeral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6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37" w14:textId="042398F3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3D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39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A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Indust Injury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B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3C" w14:textId="64AF4B1D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42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3E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3F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Jury Duty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0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41" w14:textId="33E1712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47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43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4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Time Off w/ perm w/o pay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5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46" w14:textId="6ABEA1EF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4C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48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9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Time Off w/o perm w/o pay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A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4B" w14:textId="2E573394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51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D19A4D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E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Military Leave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4F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0" w14:textId="626281DD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3E760A" w14:paraId="6AD19A56" w14:textId="77777777" w:rsidTr="003E760A">
        <w:trPr>
          <w:trHeight w:val="187"/>
        </w:trPr>
        <w:tc>
          <w:tcPr>
            <w:tcW w:w="79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52" w14:textId="77777777" w:rsidR="003E760A" w:rsidRPr="00431F32" w:rsidRDefault="003E760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3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Time Off w/ perm w/ pay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4" w14:textId="77777777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5" w14:textId="781CF7F6" w:rsidR="003E760A" w:rsidRPr="00431F32" w:rsidRDefault="003E76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Same as above for this category</w:t>
            </w:r>
          </w:p>
        </w:tc>
      </w:tr>
      <w:tr w:rsidR="001D3A18" w14:paraId="6AD19A5B" w14:textId="77777777" w:rsidTr="003E760A">
        <w:trPr>
          <w:trHeight w:val="20"/>
        </w:trPr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6AD19A57" w14:textId="77777777" w:rsidR="001D3A18" w:rsidRPr="00431F32" w:rsidRDefault="001D3A1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Productive</w:t>
            </w:r>
          </w:p>
        </w:tc>
        <w:tc>
          <w:tcPr>
            <w:tcW w:w="13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8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Hours Worked</w:t>
            </w: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9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CEE 2013 - 2014 Program Years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A" w14:textId="77777777" w:rsidR="001D3A18" w:rsidRPr="00431F32" w:rsidRDefault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_Ref406141781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60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5C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5D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5E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On-Bill Financing (OBF)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5F" w14:textId="77777777" w:rsidR="001D3A18" w:rsidRPr="00431F32" w:rsidRDefault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_Ref406141803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65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1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2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63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DR / Ld Mgt 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4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_Ref406141829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6A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6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7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68" w14:textId="77777777" w:rsidR="001D3A18" w:rsidRPr="00431F32" w:rsidRDefault="00431F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</w:t>
            </w:r>
            <w:r w:rsidR="001D3A18" w:rsidRPr="00431F32">
              <w:rPr>
                <w:rFonts w:ascii="Arial" w:hAnsi="Arial" w:cs="Arial"/>
                <w:color w:val="000000"/>
                <w:sz w:val="18"/>
                <w:szCs w:val="18"/>
              </w:rPr>
              <w:t>Balancing Work (Prg IV)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9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_Ref406141837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6F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6B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6C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6D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Business Attraction and Retention (Prg FK]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6E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_Ref406141853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74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0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1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72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Time Varying Pricing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3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_Ref406141859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79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5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6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77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Electric Outreach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8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_Ref406141864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7E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A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7B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7C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Gas Outreach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7D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_Ref406141868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6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83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7F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80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81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Pipeline Pathways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82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_Ref406141875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7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1D3A18" w14:paraId="6AD19A88" w14:textId="77777777" w:rsidTr="003E760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84" w14:textId="77777777" w:rsidR="001D3A18" w:rsidRPr="00431F32" w:rsidRDefault="001D3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19A85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9A86" w14:textId="77777777" w:rsidR="001D3A18" w:rsidRPr="00431F32" w:rsidRDefault="001D3A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>Storms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87" w14:textId="77777777" w:rsidR="001D3A18" w:rsidRPr="00431F32" w:rsidRDefault="001D3A18" w:rsidP="00431F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31F32">
              <w:rPr>
                <w:rFonts w:ascii="Arial" w:hAnsi="Arial" w:cs="Arial"/>
                <w:color w:val="000000"/>
                <w:sz w:val="18"/>
                <w:szCs w:val="18"/>
              </w:rPr>
              <w:t xml:space="preserve">See pg 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PAGEREF _Ref406141883 </w:instrTex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D037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8</w:t>
            </w:r>
            <w:r w:rsidR="00431F32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AD19A89" w14:textId="77777777" w:rsidR="00C66B13" w:rsidRDefault="00C66B13" w:rsidP="009E26A9">
      <w:pPr>
        <w:rPr>
          <w:rFonts w:ascii="Calibri" w:hAnsi="Calibri"/>
          <w:b/>
          <w:sz w:val="22"/>
          <w:szCs w:val="22"/>
        </w:rPr>
      </w:pPr>
    </w:p>
    <w:p w14:paraId="6AD19A8A" w14:textId="77777777" w:rsidR="00C66B13" w:rsidRDefault="00C66B1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AD19A8B" w14:textId="77777777" w:rsidR="00F61281" w:rsidRPr="001B2D50" w:rsidRDefault="00C068B9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lastRenderedPageBreak/>
        <w:t>Figure 1 - PG&amp;E @ Work for Me Time Entry Application</w:t>
      </w:r>
    </w:p>
    <w:p w14:paraId="6AD19A8C" w14:textId="77777777" w:rsidR="004D0BDB" w:rsidRPr="001B2D50" w:rsidRDefault="004D0BDB" w:rsidP="009E26A9">
      <w:pPr>
        <w:rPr>
          <w:rFonts w:ascii="Arial" w:hAnsi="Arial" w:cs="Arial"/>
          <w:b/>
          <w:sz w:val="20"/>
          <w:szCs w:val="20"/>
        </w:rPr>
      </w:pPr>
    </w:p>
    <w:p w14:paraId="6AD19A8D" w14:textId="77777777" w:rsidR="00F61281" w:rsidRPr="001B2D50" w:rsidRDefault="00287B31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D19BB1" wp14:editId="6AD19BB2">
                <wp:simplePos x="0" y="0"/>
                <wp:positionH relativeFrom="column">
                  <wp:posOffset>1327785</wp:posOffset>
                </wp:positionH>
                <wp:positionV relativeFrom="paragraph">
                  <wp:posOffset>161290</wp:posOffset>
                </wp:positionV>
                <wp:extent cx="175260" cy="779145"/>
                <wp:effectExtent l="60960" t="8890" r="11430" b="311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779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04.55pt;margin-top:12.7pt;width:13.8pt;height:61.3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skPgIAAGwEAAAOAAAAZHJzL2Uyb0RvYy54bWysVMuO2yAU3VfqPyD2ie3UeVlxRiM7aRfT&#10;6Ugz/QACOEbFgIDEiar+ey/Ek2naTVXVC3wx93Hu4Vyv7k6dREdundCqxNk4xYgrqplQ+xJ/fdmO&#10;Fhg5TxQjUite4jN3+G79/t2qNwWf6FZLxi2CJMoVvSlx670pksTRlnfEjbXhCg4bbTviYWv3CbOk&#10;h+ydTCZpOkt6bZmxmnLn4Gt9OcTrmL9pOPVfmsZxj2SJAZuPq43rLqzJekWKvSWmFXSAQf4BRUeE&#10;gqLXVDXxBB2s+CNVJ6jVTjd+THWX6KYRlMceoJss/a2b55YYHnsBcpy50uT+X1r6eHyySLASzzFS&#10;pIMruj94HSujLPLTG1eAW6WebOiQntSzedD0m0NKVy1Rex69X84GgrPAaHITEjbOQJVd/1kz8CFQ&#10;IJJ1amyHGinMpxAYkgMh6BRv53y9HX7yiMLHbD6dzOAOKRzN58ssn8ZapAhpQrCxzn/kukPBKLHz&#10;loh96yutFOhA20sJcnxwPoB8CwjBSm+FlFEOUqG+xMvpZBoxOS0FC4fBzdn9rpIWHUkQVHwGFDdu&#10;Vh8Ui8laTthmsD0REmzkI1XeCiBPchyqdZxhJDnMULAu8KQKFaF9ADxYF019X6bLzWKzyEf5ZLYZ&#10;5Wldj+63VT6abYGk+kNdVXX2I4DP8qIVjHEV8L/qO8v/Tj/DpF2UeVX4lajkNntkFMC+viPoqIRw&#10;+WEgXbHT7PxkQ3dhB5KOzsP4hZn5dR+93n4S658AAAD//wMAUEsDBBQABgAIAAAAIQC//ZVG4AAA&#10;AAoBAAAPAAAAZHJzL2Rvd25yZXYueG1sTI/BTsMwDIbvSLxDZCQuiKUt2yil6YSAjROaKOOeNaat&#10;1jhVk23t22NOcLPlT7+/P1+NthMnHHzrSEE8i0AgVc60VCvYfa5vUxA+aDK6c4QKJvSwKi4vcp0Z&#10;d6YPPJWhFhxCPtMKmhD6TEpfNWi1n7keiW/fbrA68DrU0gz6zOG2k0kULaXVLfGHRvf43GB1KI9W&#10;wUu5Xay/bnZjMlVv7+UmPWxpelXq+mp8egQRcAx/MPzqszoU7LR3RzJedAqS6CFmlIfFHAQDyd3y&#10;HsSeyXkagyxy+b9C8QMAAP//AwBQSwECLQAUAAYACAAAACEAtoM4kv4AAADhAQAAEwAAAAAAAAAA&#10;AAAAAAAAAAAAW0NvbnRlbnRfVHlwZXNdLnhtbFBLAQItABQABgAIAAAAIQA4/SH/1gAAAJQBAAAL&#10;AAAAAAAAAAAAAAAAAC8BAABfcmVscy8ucmVsc1BLAQItABQABgAIAAAAIQATurskPgIAAGwEAAAO&#10;AAAAAAAAAAAAAAAAAC4CAABkcnMvZTJvRG9jLnhtbFBLAQItABQABgAIAAAAIQC//ZVG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F61281" w:rsidRPr="001B2D50">
        <w:rPr>
          <w:rFonts w:ascii="Arial" w:hAnsi="Arial" w:cs="Arial"/>
          <w:b/>
          <w:sz w:val="20"/>
          <w:szCs w:val="20"/>
        </w:rPr>
        <w:t>Activity Type, Receiving O</w:t>
      </w:r>
      <w:r w:rsidR="008D249C" w:rsidRPr="001B2D50">
        <w:rPr>
          <w:rFonts w:ascii="Arial" w:hAnsi="Arial" w:cs="Arial"/>
          <w:b/>
          <w:sz w:val="20"/>
          <w:szCs w:val="20"/>
        </w:rPr>
        <w:t xml:space="preserve">rder Number, Attendance/Absence </w:t>
      </w:r>
      <w:r w:rsidR="00F61281" w:rsidRPr="001B2D50">
        <w:rPr>
          <w:rFonts w:ascii="Arial" w:hAnsi="Arial" w:cs="Arial"/>
          <w:b/>
          <w:sz w:val="20"/>
          <w:szCs w:val="20"/>
        </w:rPr>
        <w:t>Type, Hours.</w:t>
      </w:r>
    </w:p>
    <w:p w14:paraId="6AD19A8E" w14:textId="77777777" w:rsidR="00C068B9" w:rsidRPr="001B2D50" w:rsidRDefault="00287B31" w:rsidP="009E26A9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19BB3" wp14:editId="6AD19BB4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2115185" cy="731520"/>
                <wp:effectExtent l="13335" t="10160" r="33655" b="584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18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05pt;margin-top:3.05pt;width:166.5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ktOgIAAGMEAAAOAAAAZHJzL2Uyb0RvYy54bWysVM2O2jAQvlfqO1i+QzAbWIgIq1UCvWy7&#10;SLt9AGM7xKpjW7YhoKrv3rH56W57qarm4Iwzf9/MfJPFw7FT6CCcl0aXmAxHGAnNDJd6V+Kvr+vB&#10;DCMfqOZUGS1KfBIePyw/flj0thBj0xrFhUMQRPuityVuQ7BFlnnWio76obFCg7IxrqMBrm6XcUd7&#10;iN6pbDwaTbPeOG6dYcJ7+FqflXiZ4jeNYOG5abwISJUYsIV0unRu45ktF7TYOWpbyS4w6D+g6KjU&#10;kPQWqqaBor2Tf4TqJHPGmyYMmeky0zSSiVQDVENGv1Xz0lIrUi3QHG9vbfL/Lyz7ctg4JHmJpxhp&#10;2sGIHvfBpMyI5LE/vfUFmFV642KF7Khf7JNh3zzSpmqp3olk/Xqy4EyiR/bOJV68hSzb/rPhYEMh&#10;QWrWsXFdDAltQMc0k9NtJuIYEIOPY0ImZDbBiIHu/o5MxmloGS2u3tb58EmYDkWhxD44KndtqIzW&#10;MH7jSMpFD08+RGy0uDrE1NqspVKJBUqjvsTzyXiSHLxRkkdlNPNut62UQwcaeZSeVCho3po5s9c8&#10;BWsF5auLHKhUIKOQOhSchJ4pgWO2TnCMlIDVidIZntIxI9QPgC/SmUrf56P5araa5YN8PF0N8lFd&#10;Dx7XVT6Yrsn9pL6rq6omPyJ4khet5FzoiP9Ka5L/HW0uC3Ym5I3Yt0Zl76OnjgLY6zuBTgSIMz+z&#10;Z2v4aeNidZELwORkfNm6uCpv78nq179h+RMAAP//AwBQSwMEFAAGAAgAAAAhALkYvkTgAAAACQEA&#10;AA8AAABkcnMvZG93bnJldi54bWxMj8FOwzAQRO9I/IO1SNyokyCsJsSpgAqRC0i0CHF04yW2iO0o&#10;dtuUr2c5wWl3NaPZN/VqdgM74BRt8BLyRQYMfRe09b2Et+3j1RJYTMprNQSPEk4YYdWcn9Wq0uHo&#10;X/GwST2jEB8rJcGkNFacx86gU3ERRvSkfYbJqUTn1HM9qSOFu4EXWSa4U9bTB6NGfDDYfW32TkJa&#10;f5yMeO/uS/uyfXoW9rtt27WUlxfz3S2whHP6M8MvPqFDQ0y7sPc6skGCuBE5WWmhQXq5LAtgOzIW&#10;+TXwpub/GzQ/AAAA//8DAFBLAQItABQABgAIAAAAIQC2gziS/gAAAOEBAAATAAAAAAAAAAAAAAAA&#10;AAAAAABbQ29udGVudF9UeXBlc10ueG1sUEsBAi0AFAAGAAgAAAAhADj9If/WAAAAlAEAAAsAAAAA&#10;AAAAAAAAAAAALwEAAF9yZWxzLy5yZWxzUEsBAi0AFAAGAAgAAAAhAAl+eS06AgAAYwQAAA4AAAAA&#10;AAAAAAAAAAAALgIAAGRycy9lMm9Eb2MueG1sUEsBAi0AFAAGAAgAAAAhALkYvkT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9BB5" wp14:editId="6AD19BB6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1558925" cy="731520"/>
                <wp:effectExtent l="13335" t="10160" r="37465" b="584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92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28.05pt;margin-top:3.05pt;width:122.7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GFOAIAAGM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CNF&#10;ehjR497rmBll09CfwbgCzCq1taFCelQv5knTbw4pXXVEtTxav54MOGfBI3njEi7OQJbd8FkzsCGQ&#10;IDbr2Ng+hIQ2oGOcyek2E370iMLHbDabLyYAjoLufprNJnFoCSmu3sY6/4nrHgWhxM5bItrOV1op&#10;GL+2WcxFDk/OB2ykuDqE1EpvhJSRBVKhocSLGSQLGqelYEEZL7bdVdKiAwk8ik8s9J2Z1XvFYrCO&#10;E7a+yJ4ICTLysUPeCuiZ5Dhk6znDSHJYnSCd4UkVMkL9APginan0fZEu1vP1PB/lk7v1KE/revS4&#10;qfLR3Sa7n9XTuqrq7EcAn+VFJxjjKuC/0jrL/442lwU7E/JG7FujkrfRY0cB7PUdQUcChJmf2bPT&#10;7LS1obrABWByNL5sXViV3+/R6te/YfUTAAD//wMAUEsDBBQABgAIAAAAIQBuN8PU3wAAAAkBAAAP&#10;AAAAZHJzL2Rvd25yZXYueG1sTI9BT8MwDIXvSPyHyEjcWNohIlaaTsCE6IVJbAhxzBrTRjRO1WRb&#10;x6/HnOBkW+/p+XvlcvK9OOAYXSAN+SwDgdQE66jV8LZ9uroFEZMha/pAqOGEEZbV+VlpChuO9IqH&#10;TWoFh1AsjIYupaGQMjYdehNnYUBi7TOM3iQ+x1ba0Rw53PdynmVKeuOIP3RmwMcOm6/N3mtIq49T&#10;p96bh4Vbb59flPuu63ql9eXFdH8HIuGU/szwi8/oUDHTLuzJRtFrUDcqZysvPFhfZLkCsWPjPL8G&#10;WZXyf4PqBwAA//8DAFBLAQItABQABgAIAAAAIQC2gziS/gAAAOEBAAATAAAAAAAAAAAAAAAAAAAA&#10;AABbQ29udGVudF9UeXBlc10ueG1sUEsBAi0AFAAGAAgAAAAhADj9If/WAAAAlAEAAAsAAAAAAAAA&#10;AAAAAAAALwEAAF9yZWxzLy5yZWxzUEsBAi0AFAAGAAgAAAAhAOSOUYU4AgAAYwQAAA4AAAAAAAAA&#10;AAAAAAAALgIAAGRycy9lMm9Eb2MueG1sUEsBAi0AFAAGAAgAAAAhAG43w9TfAAAACQEAAA8AAAAA&#10;AAAAAAAAAAAAkgQAAGRycy9kb3ducmV2LnhtbFBLBQYAAAAABAAEAPMAAACeBQAA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19BB7" wp14:editId="6AD19BB8">
                <wp:simplePos x="0" y="0"/>
                <wp:positionH relativeFrom="column">
                  <wp:posOffset>4166235</wp:posOffset>
                </wp:positionH>
                <wp:positionV relativeFrom="paragraph">
                  <wp:posOffset>38735</wp:posOffset>
                </wp:positionV>
                <wp:extent cx="906780" cy="731520"/>
                <wp:effectExtent l="13335" t="10160" r="51435" b="488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8.05pt;margin-top:3.05pt;width:71.4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gL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SejPYFwBZpXa2lAhPaoX86TpN4eUrjqiWh6tX08GnLPgkbxzCRdnIMtu+KwZ2BBI&#10;EJt1bGwfQkIb0DHO5HSbCT96ROHjIp3dz2FyFFT3d9l0EmeWkOLqbKzzn7juURBK7Lwlou18pZWC&#10;6WubxVTk8OR8gEaKq0PIrPRGSBlJIBUaIN10Mo0OTkvBgjKYOdvuKmnRgQQaxSfWCZq3ZlbvFYvB&#10;Ok7Y+iJ7IiTIyMcGeSugZZLjkK3nDCPJYXOCdIYnVcgI5QPgi3Rm0vdFuljP1/N8lE9m61Ge1vXo&#10;cVPlo9kmu5/Wd3VV1dmPAD7Li04wxlXAf2V1lv8day77debjjde3RiXvo8eOAtjrO4KO8w8jP5Nn&#10;p9lpa0N1gQpA5Gh8WbqwKW/v0erXr2H1EwAA//8DAFBLAwQUAAYACAAAACEANPnHReAAAAAJAQAA&#10;DwAAAGRycy9kb3ducmV2LnhtbEyPwU7DMBBE70j8g7VI3KiTIkwT4lRAhcilSLQIcXTjJbaI7Sh2&#10;25SvZznBaXc1o9k31XJyPTvgGG3wEvJZBgx9G7T1nYS37dPVAlhMymvVB48SThhhWZ+fVarU4ehf&#10;8bBJHaMQH0slwaQ0lJzH1qBTcRYG9KR9htGpROfYcT2qI4W7ns+zTHCnrKcPRg34aLD92uydhLT6&#10;OBnx3j4U9mX7vBb2u2malZSXF9P9HbCEU/ozwy8+oUNNTLuw9zqyXoK4ETlZaaFB+m2xKIDtyDjP&#10;r4HXFf/foP4BAAD//wMAUEsBAi0AFAAGAAgAAAAhALaDOJL+AAAA4QEAABMAAAAAAAAAAAAAAAAA&#10;AAAAAFtDb250ZW50X1R5cGVzXS54bWxQSwECLQAUAAYACAAAACEAOP0h/9YAAACUAQAACwAAAAAA&#10;AAAAAAAAAAAvAQAAX3JlbHMvLnJlbHNQSwECLQAUAAYACAAAACEATsYYCzkCAABiBAAADgAAAAAA&#10;AAAAAAAAAAAuAgAAZHJzL2Uyb0RvYy54bWxQSwECLQAUAAYACAAAACEANPnHReAAAAAJAQAADwAA&#10;AAAAAAAAAAAAAACTBAAAZHJzL2Rvd25yZXYueG1sUEsFBgAAAAAEAAQA8wAAAKAFAAAAAA=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19BB9" wp14:editId="6AD19BBA">
                <wp:simplePos x="0" y="0"/>
                <wp:positionH relativeFrom="column">
                  <wp:posOffset>1916430</wp:posOffset>
                </wp:positionH>
                <wp:positionV relativeFrom="paragraph">
                  <wp:posOffset>38735</wp:posOffset>
                </wp:positionV>
                <wp:extent cx="1160780" cy="731520"/>
                <wp:effectExtent l="40005" t="10160" r="8890" b="584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078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50.9pt;margin-top:3.05pt;width:91.4pt;height:57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OaQQIAAG0EAAAOAAAAZHJzL2Uyb0RvYy54bWysVE2P2yAQvVfqf0DcE9v5jhVntbKT9rDd&#10;RtrtDyCAbVQMCEicqOp/70CyadNeqqo+4MHMvJl58/Dq4dRJdOTWCa0KnA1TjLiimgnVFPjL63aw&#10;wMh5ohiRWvECn7nDD+v371a9yflIt1oybhGAKJf3psCt9yZPEkdb3hE31IYrOKy17YiHrW0SZkkP&#10;6J1MRmk6S3ptmbGacufga3U5xOuIX9ec+s917bhHssBQm4+rjes+rMl6RfLGEtMKei2D/EMVHREK&#10;kt6gKuIJOljxB1QnqNVO135IdZfouhaUxx6gmyz9rZuXlhgeewFynLnR5P4fLH0+7iwSrMBjjBTp&#10;YESPB69jZpRlgZ/euBzcSrWzoUN6Ui/mSdOvDildtkQ1PHq/ng0Ex4jkLiRsnIEs+/6TZuBDIEEk&#10;61TbDtVSmI8hMIADIegUp3O+TYefPKLwMctm6XwBQ6RwNh9n01EcX0LygBOijXX+A9cdCkaBnbdE&#10;NK0vtVIgBG0vOcjxyXnoCwLfAkKw0lshZdSDVKgv8HI6msainJaChcPg5myzL6VFRxIUFZ9AEoDd&#10;uVl9UCyCtZywzdX2REiwkY9ceSuAPclxyNZxhpHkcImCdUGUKmSE/qHgq3UR1bdlutwsNovJYDKa&#10;bQaTtKoGj9tyMphts/m0GldlWWXfQ/HZJG8FY1yF+t8Enk3+TkDXq3aR5k3iN6KSe/RIAhT79o5F&#10;RymE6V90tNfsvLOhu6AK0HR0vt6/cGl+3Uevn3+J9Q8AAAD//wMAUEsDBBQABgAIAAAAIQBYLzNE&#10;3wAAAAkBAAAPAAAAZHJzL2Rvd25yZXYueG1sTI9BT4NAFITvJv6HzTPxYuwCrYQgS2PU6qlpxHrf&#10;sk8gZd8SdtvCv/d50uNkJjPfFOvJ9uKMo+8cKYgXEQik2pmOGgX7z819BsIHTUb3jlDBjB7W5fVV&#10;oXPjLvSB5yo0gkvI51pBG8KQS+nrFq32CzcgsfftRqsDy7GRZtQXLre9TKIolVZ3xAutHvC5xfpY&#10;nayCl2r3sPm620/JXL9vq7fsuKP5Vanbm+npEUTAKfyF4Ref0aFkpoM7kfGiV7CMYkYPCtIYBPur&#10;bJWCOHAwiZcgy0L+f1D+AAAA//8DAFBLAQItABQABgAIAAAAIQC2gziS/gAAAOEBAAATAAAAAAAA&#10;AAAAAAAAAAAAAABbQ29udGVudF9UeXBlc10ueG1sUEsBAi0AFAAGAAgAAAAhADj9If/WAAAAlAEA&#10;AAsAAAAAAAAAAAAAAAAALwEAAF9yZWxzLy5yZWxzUEsBAi0AFAAGAAgAAAAhAB4FE5pBAgAAbQQA&#10;AA4AAAAAAAAAAAAAAAAALgIAAGRycy9lMm9Eb2MueG1sUEsBAi0AFAAGAAgAAAAhAFgvM0TfAAAA&#10;CQEAAA8AAAAAAAAAAAAAAAAAmwQAAGRycy9kb3ducmV2LnhtbFBLBQYAAAAABAAEAPMAAACnBQAA&#10;AAA=&#10;">
                <v:stroke endarrow="block"/>
              </v:shape>
            </w:pict>
          </mc:Fallback>
        </mc:AlternateContent>
      </w:r>
      <w:r w:rsidRPr="001B2D50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D19BBB" wp14:editId="6AD19BBC">
                <wp:simplePos x="0" y="0"/>
                <wp:positionH relativeFrom="column">
                  <wp:posOffset>628015</wp:posOffset>
                </wp:positionH>
                <wp:positionV relativeFrom="paragraph">
                  <wp:posOffset>38735</wp:posOffset>
                </wp:positionV>
                <wp:extent cx="191135" cy="731520"/>
                <wp:effectExtent l="8890" t="10160" r="57150" b="2984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9.45pt;margin-top:3.05pt;width:15.05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DOOgIAAGEEAAAOAAAAZHJzL2Uyb0RvYy54bWysVE2P2yAQvVfqf0DcE9uJs5tYcVYrO+ll&#10;24202x9AANuoGBCQOFHV/96BfHS3vVRVfcCDmXnzZubh5cOxl+jArRNalTgbpxhxRTUTqi3x19fN&#10;aI6R80QxIrXiJT5xhx9WHz8sB1Pwie60ZNwiAFGuGEyJO+9NkSSOdrwnbqwNV3DYaNsTD1vbJsyS&#10;AdB7mUzS9C4ZtGXGasqdg6/1+RCvIn7TcOqfm8Zxj2SJgZuPq43rLqzJakmK1hLTCXqhQf6BRU+E&#10;gqQ3qJp4gvZW/AHVC2q1040fU90numkE5bEGqCZLf6vmpSOGx1qgOc7c2uT+Hyz9cthaJBjMDiNF&#10;ehjR497rmBktQnsG4wrwqtTWhgLpUb2YJ02/OaR01RHV8uj8ejIQm4WI5F1I2DgDSXbDZ83AhwB+&#10;7NWxsX2AhC6gYxzJ6TYSfvSIwsdskWXTGUYUju6n2WwSR5aQ4hpsrPOfuO5RMErsvCWi7XyllYLh&#10;a5vFVOTw5HygRoprQMis9EZIGTUgFRpKvJhNZjHAaSlYOAxuzra7Slp0IEFF8Yl1wslbN6v3ikWw&#10;jhO2vtieCAk28rFB3gpomeQ4ZOs5w0hyuDjBOtOTKmSE8oHwxToL6fsiXazn63k+yid361Ge1vXo&#10;cVPlo7tNdj+rp3VV1dmPQD7Li04wxlXgfxV1lv+daC7X6yzHm6xvjUreo8eOAtnrO5KO8w8jP4tn&#10;p9lpa0N1QQqg4+h8uXPhorzdR69ff4bVTwAAAP//AwBQSwMEFAAGAAgAAAAhAAY65hPfAAAACAEA&#10;AA8AAABkcnMvZG93bnJldi54bWxMj8FOwzAQRO9I/QdrkbhRJ0WKmhCnolSIXECirSqObrzEFvE6&#10;it025etxTnDb0Yxm35Sr0XbsjIM3jgSk8wQYUuOUoVbAfvdyvwTmgyQlO0co4IoeVtXsppSFchf6&#10;wPM2tCyWkC+kAB1CX3DuG41W+rnrkaL35QYrQ5RDy9UgL7HcdnyRJBm30lD8oGWPzxqb7+3JCgib&#10;z6vODs06N++717fM/NR1vRHi7nZ8egQWcAx/YZjwIzpUkenoTqQ86wTkyzwmBWQpsMle5HHacTrS&#10;B+BVyf8PqH4BAAD//wMAUEsBAi0AFAAGAAgAAAAhALaDOJL+AAAA4QEAABMAAAAAAAAAAAAAAAAA&#10;AAAAAFtDb250ZW50X1R5cGVzXS54bWxQSwECLQAUAAYACAAAACEAOP0h/9YAAACUAQAACwAAAAAA&#10;AAAAAAAAAAAvAQAAX3JlbHMvLnJlbHNQSwECLQAUAAYACAAAACEAPZpwzjoCAABhBAAADgAAAAAA&#10;AAAAAAAAAAAuAgAAZHJzL2Uyb0RvYy54bWxQSwECLQAUAAYACAAAACEABjrmE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14:paraId="6AD19A8F" w14:textId="77777777" w:rsidR="00944C77" w:rsidRDefault="00287B31" w:rsidP="009E26A9">
      <w:pPr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inline distT="0" distB="0" distL="0" distR="0" wp14:anchorId="6AD19BBD" wp14:editId="6AD19BBE">
            <wp:extent cx="6432550" cy="2409190"/>
            <wp:effectExtent l="0" t="0" r="6350" b="0"/>
            <wp:docPr id="2" name="Picture 1" descr="cid:image003.jpg@01CFFE8D.FC4F8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FE8D.FC4F8F3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9A90" w14:textId="77777777" w:rsidR="00944C77" w:rsidRPr="00944C77" w:rsidRDefault="00944C77" w:rsidP="00944C77"/>
    <w:p w14:paraId="6AD19A91" w14:textId="77777777" w:rsidR="0060470C" w:rsidRDefault="0060470C">
      <w:pPr>
        <w:rPr>
          <w:rFonts w:ascii="Arial Narrow" w:eastAsiaTheme="majorEastAsia" w:hAnsi="Arial Narrow"/>
          <w:b/>
          <w:bCs/>
          <w:sz w:val="36"/>
          <w:szCs w:val="36"/>
        </w:rPr>
      </w:pPr>
      <w:r>
        <w:rPr>
          <w:rFonts w:ascii="Arial Narrow" w:hAnsi="Arial Narrow"/>
          <w:sz w:val="36"/>
          <w:szCs w:val="36"/>
        </w:rPr>
        <w:br w:type="page"/>
      </w:r>
    </w:p>
    <w:p w14:paraId="6AD19A92" w14:textId="77777777" w:rsidR="00750AF6" w:rsidRPr="004E080C" w:rsidRDefault="00991E1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" w:name="_Ref406141781"/>
      <w:bookmarkStart w:id="3" w:name="_Toc406142488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CEE 2013 - 2014 Program Years (Balancing Account)</w:t>
      </w:r>
      <w:bookmarkEnd w:id="2"/>
      <w:bookmarkEnd w:id="3"/>
    </w:p>
    <w:p w14:paraId="6AD19A93" w14:textId="77777777" w:rsidR="00750AF6" w:rsidRPr="001B2D50" w:rsidRDefault="00750AF6" w:rsidP="00991E1F">
      <w:pPr>
        <w:rPr>
          <w:rFonts w:ascii="Arial" w:hAnsi="Arial" w:cs="Arial"/>
          <w:sz w:val="20"/>
          <w:szCs w:val="20"/>
        </w:rPr>
      </w:pPr>
    </w:p>
    <w:p w14:paraId="6AD19A94" w14:textId="77777777" w:rsidR="00991E1F" w:rsidRPr="001B2D50" w:rsidRDefault="00991E1F" w:rsidP="00991E1F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Cust</w:t>
      </w:r>
      <w:r w:rsidR="00FB1FCD" w:rsidRPr="001B2D50">
        <w:rPr>
          <w:rFonts w:ascii="Arial" w:hAnsi="Arial" w:cs="Arial"/>
          <w:sz w:val="20"/>
          <w:szCs w:val="20"/>
        </w:rPr>
        <w:t>omers contribute to the Public P</w:t>
      </w:r>
      <w:r w:rsidRPr="001B2D50">
        <w:rPr>
          <w:rFonts w:ascii="Arial" w:hAnsi="Arial" w:cs="Arial"/>
          <w:sz w:val="20"/>
          <w:szCs w:val="20"/>
        </w:rPr>
        <w:t>urpose</w:t>
      </w:r>
      <w:r w:rsidR="00FB1FCD" w:rsidRPr="001B2D50">
        <w:rPr>
          <w:rFonts w:ascii="Arial" w:hAnsi="Arial" w:cs="Arial"/>
          <w:sz w:val="20"/>
          <w:szCs w:val="20"/>
        </w:rPr>
        <w:t xml:space="preserve"> Program (PPP)</w:t>
      </w:r>
      <w:r w:rsidRPr="001B2D50">
        <w:rPr>
          <w:rFonts w:ascii="Arial" w:hAnsi="Arial" w:cs="Arial"/>
          <w:sz w:val="20"/>
          <w:szCs w:val="20"/>
        </w:rPr>
        <w:t xml:space="preserve"> charge on their monthly bills, and this is the money that funds the b</w:t>
      </w:r>
      <w:r w:rsidR="00E16378" w:rsidRPr="001B2D50">
        <w:rPr>
          <w:rFonts w:ascii="Arial" w:hAnsi="Arial" w:cs="Arial"/>
          <w:sz w:val="20"/>
          <w:szCs w:val="20"/>
        </w:rPr>
        <w:t xml:space="preserve">alancing account. </w:t>
      </w:r>
      <w:r w:rsidR="00FB1FCD" w:rsidRPr="001B2D50">
        <w:rPr>
          <w:rFonts w:ascii="Arial" w:hAnsi="Arial" w:cs="Arial"/>
          <w:sz w:val="20"/>
          <w:szCs w:val="20"/>
        </w:rPr>
        <w:t>Customer Energy Efficiency (CEE) is a significant portion of the PPP charge.</w:t>
      </w:r>
    </w:p>
    <w:p w14:paraId="6AD19A95" w14:textId="77777777" w:rsidR="00991E1F" w:rsidRPr="001B2D50" w:rsidRDefault="00991E1F" w:rsidP="00A36510">
      <w:pPr>
        <w:rPr>
          <w:rFonts w:ascii="Arial" w:hAnsi="Arial" w:cs="Arial"/>
          <w:sz w:val="20"/>
          <w:szCs w:val="20"/>
        </w:rPr>
      </w:pPr>
    </w:p>
    <w:p w14:paraId="6AD19A96" w14:textId="77777777" w:rsidR="00E16378" w:rsidRPr="001B2D50" w:rsidRDefault="00E16378" w:rsidP="00A3651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2 – CEE Work Categories</w:t>
      </w:r>
    </w:p>
    <w:p w14:paraId="6AD19A97" w14:textId="77777777" w:rsidR="00B9288C" w:rsidRPr="001B2D50" w:rsidRDefault="00B9288C" w:rsidP="004D0BD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7"/>
        <w:gridCol w:w="2430"/>
        <w:gridCol w:w="1980"/>
        <w:gridCol w:w="2575"/>
      </w:tblGrid>
      <w:tr w:rsidR="001D3A18" w14:paraId="6AD19A9C" w14:textId="77777777" w:rsidTr="00C66B13">
        <w:trPr>
          <w:trHeight w:val="705"/>
        </w:trPr>
        <w:tc>
          <w:tcPr>
            <w:tcW w:w="3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8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9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A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Who should use it?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9B" w14:textId="77777777" w:rsidR="00BC295B" w:rsidRPr="001B2D50" w:rsidRDefault="00BC295B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1D3A18" w14:paraId="6AD19AA1" w14:textId="77777777" w:rsidTr="00C66B13">
        <w:trPr>
          <w:trHeight w:val="600"/>
        </w:trPr>
        <w:tc>
          <w:tcPr>
            <w:tcW w:w="3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D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2013-CEE ALLOCATION-I-CHIN-XXXXX</w:t>
            </w:r>
            <w:r w:rsidR="00FF379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(CHIN stands for Charge-In)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E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-Any direct interaction with customers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9F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CRMs/account reps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0" w14:textId="77777777" w:rsidR="00BC295B" w:rsidRPr="001B2D50" w:rsidRDefault="001D3A18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C295B" w:rsidRPr="001B2D50">
              <w:rPr>
                <w:rFonts w:ascii="Arial" w:hAnsi="Arial" w:cs="Arial"/>
                <w:color w:val="000000"/>
                <w:sz w:val="20"/>
                <w:szCs w:val="20"/>
              </w:rPr>
              <w:t>on-CRM/account reps employees can use this category if they have direct interaction with SMB/Res customers</w:t>
            </w:r>
          </w:p>
        </w:tc>
      </w:tr>
      <w:tr w:rsidR="001D3A18" w14:paraId="6AD19AA6" w14:textId="77777777" w:rsidTr="00C66B13">
        <w:trPr>
          <w:trHeight w:val="300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A2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3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-Customer touches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4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5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18" w14:paraId="6AD19AAB" w14:textId="77777777" w:rsidTr="00C66B13">
        <w:trPr>
          <w:trHeight w:val="300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A7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8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-Energy Audits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9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AA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18" w14:paraId="6AD19AB0" w14:textId="77777777" w:rsidTr="00C66B13">
        <w:trPr>
          <w:trHeight w:val="1200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AC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D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-Training and education provided by CEE program administrators (Core, 3P, GP, etc.)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E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Anyone receiving program specific training</w:t>
            </w:r>
          </w:p>
        </w:tc>
        <w:tc>
          <w:tcPr>
            <w:tcW w:w="2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AF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NOT include personal development training (sales training, skills courses, etc.). </w:t>
            </w:r>
          </w:p>
        </w:tc>
      </w:tr>
      <w:tr w:rsidR="001D3A18" w14:paraId="6AD19AB5" w14:textId="77777777" w:rsidTr="00C66B13">
        <w:trPr>
          <w:trHeight w:val="915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B1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2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 Travel and conference costs (labor, fees, lodging, travel) for those trainings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B3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B4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A18" w14:paraId="6AD19ABA" w14:textId="77777777" w:rsidTr="00C66B13">
        <w:trPr>
          <w:trHeight w:val="600"/>
        </w:trPr>
        <w:tc>
          <w:tcPr>
            <w:tcW w:w="31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6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2013-CEE ALLOCATION-CHIN-A-XXXXX</w:t>
            </w:r>
            <w:r w:rsidR="00FF3796">
              <w:rPr>
                <w:rFonts w:ascii="Arial" w:hAnsi="Arial" w:cs="Arial"/>
                <w:color w:val="000000"/>
                <w:sz w:val="20"/>
                <w:szCs w:val="20"/>
              </w:rPr>
              <w:t xml:space="preserve"> (CHIN stands for Charge-In)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7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-Support of CEE initiatives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8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Non-CRM/account rep positions</w:t>
            </w:r>
          </w:p>
        </w:tc>
        <w:tc>
          <w:tcPr>
            <w:tcW w:w="25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9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 xml:space="preserve">CRMs/account reps can use this category if the CEE admin work is neither SMB nor LCI specific (like planning your work week or reviewing CEE </w:t>
            </w:r>
            <w:r w:rsidR="001D3A18" w:rsidRPr="001B2D5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aterial).</w:t>
            </w:r>
          </w:p>
        </w:tc>
      </w:tr>
      <w:tr w:rsidR="001D3A18" w14:paraId="6AD19ABF" w14:textId="77777777" w:rsidTr="00C66B13">
        <w:trPr>
          <w:trHeight w:val="900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BB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C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-Responding to data requests and financial and regulatory audits/filings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BD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Sales Ops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BE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3A18" w14:paraId="6AD19AC4" w14:textId="77777777" w:rsidTr="00C66B13">
        <w:trPr>
          <w:trHeight w:val="600"/>
        </w:trPr>
        <w:tc>
          <w:tcPr>
            <w:tcW w:w="31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C0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C1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Strategic planning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C2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-Sustainable Communities</w:t>
            </w:r>
          </w:p>
        </w:tc>
        <w:tc>
          <w:tcPr>
            <w:tcW w:w="25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C3" w14:textId="77777777" w:rsidR="00BC295B" w:rsidRDefault="00BC295B" w:rsidP="00C66B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AD19AC5" w14:textId="77777777" w:rsidR="00B9288C" w:rsidRDefault="00B9288C" w:rsidP="00734618"/>
    <w:p w14:paraId="6AD19AC6" w14:textId="77777777" w:rsidR="0060470C" w:rsidRDefault="006047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D19AC7" w14:textId="77777777" w:rsidR="002224FF" w:rsidRPr="004E080C" w:rsidRDefault="002224F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4" w:name="_Ref406141803"/>
      <w:bookmarkStart w:id="5" w:name="_Toc406142489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On-Bill Financing (OBF) (Balancing Account)</w:t>
      </w:r>
      <w:bookmarkEnd w:id="4"/>
      <w:bookmarkEnd w:id="5"/>
    </w:p>
    <w:p w14:paraId="6AD19AC8" w14:textId="77777777" w:rsidR="00D072A4" w:rsidRPr="001B2D50" w:rsidRDefault="00D072A4" w:rsidP="00D072A4">
      <w:pPr>
        <w:rPr>
          <w:rFonts w:ascii="Arial" w:hAnsi="Arial" w:cs="Arial"/>
          <w:sz w:val="20"/>
          <w:szCs w:val="20"/>
        </w:rPr>
      </w:pPr>
    </w:p>
    <w:p w14:paraId="6AD19AC9" w14:textId="77777777" w:rsidR="00CC63F0" w:rsidRPr="001B2D50" w:rsidRDefault="00CC63F0" w:rsidP="00CC63F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OBF is a financing program that issues 0% Interest, zero penalty loans for installation of qualifying EE measures. OBF serves as an enhancement to PG&amp;E’s existing rebate and/or incentive programs. ES&amp;S supports this program with two work categories: OBF Implementation and OBF Marketing</w:t>
      </w:r>
      <w:r w:rsidR="003C7520" w:rsidRPr="001B2D50">
        <w:rPr>
          <w:rFonts w:ascii="Arial" w:hAnsi="Arial" w:cs="Arial"/>
          <w:sz w:val="20"/>
          <w:szCs w:val="20"/>
        </w:rPr>
        <w:t>.</w:t>
      </w:r>
    </w:p>
    <w:p w14:paraId="6AD19ACA" w14:textId="77777777" w:rsidR="00CC63F0" w:rsidRPr="001B2D50" w:rsidRDefault="00CC63F0" w:rsidP="00D072A4">
      <w:pPr>
        <w:rPr>
          <w:rFonts w:ascii="Arial" w:hAnsi="Arial" w:cs="Arial"/>
          <w:sz w:val="20"/>
          <w:szCs w:val="20"/>
        </w:rPr>
      </w:pPr>
    </w:p>
    <w:p w14:paraId="6AD19ACB" w14:textId="77777777" w:rsidR="00CC63F0" w:rsidRPr="001B2D50" w:rsidRDefault="00CC63F0" w:rsidP="00CC63F0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3 – OBF Work Categories</w:t>
      </w:r>
    </w:p>
    <w:p w14:paraId="6AD19ACC" w14:textId="77777777" w:rsidR="00BC295B" w:rsidRPr="001B2D50" w:rsidRDefault="00BC295B" w:rsidP="004D0BD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560"/>
        <w:gridCol w:w="6120"/>
      </w:tblGrid>
      <w:tr w:rsidR="00BC295B" w14:paraId="6AD19ACF" w14:textId="77777777" w:rsidTr="00BC295B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D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CE" w14:textId="77777777" w:rsidR="00BC295B" w:rsidRPr="001B2D50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AD2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D0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CEE13-14-ES&amp;S-IMPL-OBF-XXXXX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1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Assisting a customer with the completion of the Payment History Review Template</w:t>
            </w:r>
          </w:p>
        </w:tc>
      </w:tr>
      <w:tr w:rsidR="00BC295B" w14:paraId="6AD19AD5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3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4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Reviewing and providing the Payment History Review Template to the OBF Program</w:t>
            </w:r>
          </w:p>
        </w:tc>
      </w:tr>
      <w:tr w:rsidR="00BC295B" w14:paraId="6AD19AD8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6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7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review and submission of application package materials required for Pre-Field Review</w:t>
            </w:r>
          </w:p>
        </w:tc>
      </w:tr>
      <w:tr w:rsidR="00BC295B" w14:paraId="6AD19ADB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9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A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Review, execution and submission of Loan Agreement</w:t>
            </w:r>
          </w:p>
        </w:tc>
      </w:tr>
      <w:tr w:rsidR="00BC295B" w14:paraId="6AD19ADE" w14:textId="77777777" w:rsidTr="00C66B13">
        <w:trPr>
          <w:trHeight w:val="6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C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DD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Collection, completion, and submission of application package materials required for Post-Field Review</w:t>
            </w:r>
          </w:p>
        </w:tc>
      </w:tr>
      <w:tr w:rsidR="00BC295B" w14:paraId="6AD19AE1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DF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0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Execution and submission of Loan Modification Agreement</w:t>
            </w:r>
          </w:p>
        </w:tc>
      </w:tr>
      <w:tr w:rsidR="00BC295B" w14:paraId="6AD19AE4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2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3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application questions and inquiries</w:t>
            </w:r>
          </w:p>
        </w:tc>
      </w:tr>
      <w:tr w:rsidR="00BC295B" w14:paraId="6AD19AE7" w14:textId="77777777" w:rsidTr="00C66B13">
        <w:trPr>
          <w:trHeight w:val="300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5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6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Troubleshooting causes of failed payment screen</w:t>
            </w:r>
          </w:p>
        </w:tc>
      </w:tr>
      <w:tr w:rsidR="00BC295B" w14:paraId="6AD19AEA" w14:textId="77777777" w:rsidTr="00C66B13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D19AE8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9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Coordinating between the customer/vendor/OBF</w:t>
            </w:r>
          </w:p>
        </w:tc>
      </w:tr>
      <w:tr w:rsidR="00BC295B" w14:paraId="6AD19AED" w14:textId="77777777" w:rsidTr="00C66B13">
        <w:trPr>
          <w:trHeight w:val="600"/>
        </w:trPr>
        <w:tc>
          <w:tcPr>
            <w:tcW w:w="3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19AEB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CEE13-14-ES&amp;S-MKTG-OBF-XXXXX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C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Delivering OBF Presentations to potential customers and/or Implementers</w:t>
            </w:r>
          </w:p>
        </w:tc>
      </w:tr>
      <w:tr w:rsidR="00BC295B" w14:paraId="6AD19AF0" w14:textId="77777777" w:rsidTr="00C66B13">
        <w:trPr>
          <w:trHeight w:val="300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EE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EF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Meeting and discussions for OBF offerings with customers</w:t>
            </w:r>
          </w:p>
        </w:tc>
      </w:tr>
      <w:tr w:rsidR="00BC295B" w14:paraId="6AD19AF3" w14:textId="77777777" w:rsidTr="00C66B13">
        <w:trPr>
          <w:trHeight w:val="315"/>
        </w:trPr>
        <w:tc>
          <w:tcPr>
            <w:tcW w:w="3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19AF1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AF2" w14:textId="77777777" w:rsidR="00BC295B" w:rsidRPr="001B2D50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D50">
              <w:rPr>
                <w:rFonts w:ascii="Arial" w:hAnsi="Arial" w:cs="Arial"/>
                <w:color w:val="000000"/>
                <w:sz w:val="20"/>
                <w:szCs w:val="20"/>
              </w:rPr>
              <w:t>Miscellaneous program inquiries</w:t>
            </w:r>
          </w:p>
        </w:tc>
      </w:tr>
    </w:tbl>
    <w:p w14:paraId="6AD19AF4" w14:textId="77777777" w:rsidR="00D072A4" w:rsidRPr="001B2D50" w:rsidRDefault="00D072A4" w:rsidP="004D0BDB">
      <w:pPr>
        <w:jc w:val="both"/>
        <w:rPr>
          <w:rFonts w:ascii="Arial" w:hAnsi="Arial" w:cs="Arial"/>
          <w:sz w:val="20"/>
          <w:szCs w:val="20"/>
        </w:rPr>
      </w:pPr>
    </w:p>
    <w:p w14:paraId="6AD19AF5" w14:textId="77777777" w:rsidR="004D0BDB" w:rsidRPr="001B2D50" w:rsidRDefault="004D0BDB" w:rsidP="00E16378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6AD19AF6" w14:textId="77777777" w:rsidR="0060470C" w:rsidRPr="001B2D50" w:rsidRDefault="0060470C">
      <w:pPr>
        <w:rPr>
          <w:rFonts w:ascii="Arial" w:eastAsiaTheme="majorEastAsia" w:hAnsi="Arial" w:cs="Arial"/>
          <w:b/>
          <w:bCs/>
          <w:sz w:val="20"/>
          <w:szCs w:val="20"/>
        </w:rPr>
      </w:pPr>
    </w:p>
    <w:p w14:paraId="6AD19AF7" w14:textId="77777777" w:rsidR="00E16378" w:rsidRPr="004E080C" w:rsidRDefault="00E1637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6" w:name="_Ref406141829"/>
      <w:bookmarkStart w:id="7" w:name="_Toc406142490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Demand Response</w:t>
      </w:r>
      <w:r w:rsidR="00A57E5F"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(DR)</w:t>
      </w: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(Balancing Account)</w:t>
      </w:r>
      <w:bookmarkEnd w:id="6"/>
      <w:bookmarkEnd w:id="7"/>
    </w:p>
    <w:p w14:paraId="6AD19AF8" w14:textId="77777777" w:rsidR="00E16378" w:rsidRPr="001B2D50" w:rsidRDefault="00E16378" w:rsidP="00E16378">
      <w:pPr>
        <w:rPr>
          <w:rFonts w:ascii="Arial" w:hAnsi="Arial" w:cs="Arial"/>
          <w:sz w:val="20"/>
          <w:szCs w:val="20"/>
        </w:rPr>
      </w:pPr>
    </w:p>
    <w:p w14:paraId="6AD19AF9" w14:textId="77777777" w:rsidR="00734618" w:rsidRPr="001B2D50" w:rsidRDefault="00D7622A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PG&amp;E's Demand R</w:t>
      </w:r>
      <w:r w:rsidR="00195332" w:rsidRPr="001B2D50">
        <w:rPr>
          <w:rFonts w:ascii="Arial" w:hAnsi="Arial" w:cs="Arial"/>
          <w:sz w:val="20"/>
          <w:szCs w:val="20"/>
        </w:rPr>
        <w:t xml:space="preserve">esponse programs are designed to enable customers to contribute to energy load reduction during times of peak demand. </w:t>
      </w:r>
      <w:r w:rsidRPr="001B2D50">
        <w:rPr>
          <w:rFonts w:ascii="Arial" w:hAnsi="Arial" w:cs="Arial"/>
          <w:sz w:val="20"/>
          <w:szCs w:val="20"/>
        </w:rPr>
        <w:t xml:space="preserve">DR programs offer incentives to businesses that reduce the energy use of their facilities during times of peak demand. </w:t>
      </w:r>
    </w:p>
    <w:p w14:paraId="6AD19AFA" w14:textId="77777777" w:rsidR="00FC4A3C" w:rsidRPr="001B2D50" w:rsidRDefault="00FC4A3C" w:rsidP="00A36510">
      <w:pPr>
        <w:rPr>
          <w:rFonts w:ascii="Arial" w:hAnsi="Arial" w:cs="Arial"/>
          <w:sz w:val="20"/>
          <w:szCs w:val="20"/>
        </w:rPr>
      </w:pPr>
    </w:p>
    <w:p w14:paraId="6AD19AFB" w14:textId="77777777" w:rsidR="00D7622A" w:rsidRPr="001B2D50" w:rsidRDefault="00D7622A" w:rsidP="00D7622A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 xml:space="preserve">Table </w:t>
      </w:r>
      <w:r w:rsidR="0096106F" w:rsidRPr="001B2D50">
        <w:rPr>
          <w:rFonts w:ascii="Arial" w:hAnsi="Arial" w:cs="Arial"/>
          <w:b/>
          <w:sz w:val="20"/>
          <w:szCs w:val="20"/>
        </w:rPr>
        <w:t>4</w:t>
      </w:r>
      <w:r w:rsidRPr="001B2D50">
        <w:rPr>
          <w:rFonts w:ascii="Arial" w:hAnsi="Arial" w:cs="Arial"/>
          <w:b/>
          <w:sz w:val="20"/>
          <w:szCs w:val="20"/>
        </w:rPr>
        <w:t xml:space="preserve"> – DR Work Categories</w:t>
      </w:r>
    </w:p>
    <w:p w14:paraId="6AD19AFC" w14:textId="77777777" w:rsidR="00FC4A3C" w:rsidRPr="001B2D50" w:rsidRDefault="00FC4A3C" w:rsidP="00D7622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4425"/>
        <w:gridCol w:w="4375"/>
      </w:tblGrid>
      <w:tr w:rsidR="00BC295B" w14:paraId="6AD19AFF" w14:textId="77777777" w:rsidTr="00C66B13">
        <w:trPr>
          <w:trHeight w:val="315"/>
        </w:trPr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AF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02" w14:textId="77777777" w:rsidTr="00C66B13">
        <w:trPr>
          <w:trHeight w:val="600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0" w14:textId="77777777" w:rsidR="00BC295B" w:rsidRPr="00C66B13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DREBA2012-14DR CORE MKT- XXXXX - M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1" w14:textId="77777777" w:rsidR="00BC295B" w:rsidRPr="00C66B13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Interaction with customers as it relates to DR programs</w:t>
            </w:r>
          </w:p>
        </w:tc>
      </w:tr>
      <w:tr w:rsidR="00BC295B" w14:paraId="6AD19B05" w14:textId="77777777" w:rsidTr="00C66B13">
        <w:trPr>
          <w:trHeight w:val="615"/>
        </w:trPr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3" w14:textId="77777777" w:rsidR="00BC295B" w:rsidRPr="00C66B13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DREBA2012-14DR CORE E&amp;T- XXXXXX - M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04" w14:textId="77777777" w:rsidR="00BC295B" w:rsidRPr="00C66B13" w:rsidRDefault="00BC295B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Participation or attendance of DR training and education</w:t>
            </w:r>
          </w:p>
        </w:tc>
      </w:tr>
    </w:tbl>
    <w:p w14:paraId="6AD19B06" w14:textId="77777777" w:rsidR="001B2D50" w:rsidRDefault="001B2D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6AD19B07" w14:textId="77777777" w:rsidR="00734618" w:rsidRPr="004E080C" w:rsidRDefault="00A57E5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8" w:name="_Ref406141837"/>
      <w:bookmarkStart w:id="9" w:name="_Toc406142491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Non- Balancing Work (Prg IV)</w:t>
      </w:r>
      <w:bookmarkEnd w:id="8"/>
      <w:bookmarkEnd w:id="9"/>
    </w:p>
    <w:p w14:paraId="6AD19B08" w14:textId="77777777" w:rsidR="00734618" w:rsidRPr="001B2D50" w:rsidRDefault="00734618" w:rsidP="00A36510">
      <w:pPr>
        <w:rPr>
          <w:rFonts w:ascii="Arial" w:hAnsi="Arial" w:cs="Arial"/>
          <w:sz w:val="20"/>
          <w:szCs w:val="20"/>
        </w:rPr>
      </w:pPr>
    </w:p>
    <w:p w14:paraId="6AD19B09" w14:textId="77777777" w:rsidR="00A00CBD" w:rsidRPr="001B2D50" w:rsidRDefault="00FB1FCD" w:rsidP="00A36510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Non-Balancing work includes all electric/gas service work with our existing customers, not the sales (Energy Efficiency) aspect of dealing with customers. It is funded by the General Rate Case (GRC).</w:t>
      </w:r>
    </w:p>
    <w:p w14:paraId="6AD19B0A" w14:textId="77777777" w:rsidR="00FB1FCD" w:rsidRPr="001B2D50" w:rsidRDefault="00FB1FCD" w:rsidP="00A36510">
      <w:pPr>
        <w:rPr>
          <w:rFonts w:ascii="Arial" w:hAnsi="Arial" w:cs="Arial"/>
          <w:sz w:val="20"/>
          <w:szCs w:val="20"/>
        </w:rPr>
      </w:pPr>
    </w:p>
    <w:p w14:paraId="6AD19B0B" w14:textId="77777777" w:rsidR="00D35047" w:rsidRPr="001B2D50" w:rsidRDefault="0096106F" w:rsidP="00D35047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Table 5</w:t>
      </w:r>
      <w:r w:rsidR="00D35047" w:rsidRPr="001B2D50">
        <w:rPr>
          <w:rFonts w:ascii="Arial" w:hAnsi="Arial" w:cs="Arial"/>
          <w:b/>
          <w:sz w:val="20"/>
          <w:szCs w:val="20"/>
        </w:rPr>
        <w:t xml:space="preserve"> – Non-Bal Work Categories</w:t>
      </w:r>
    </w:p>
    <w:p w14:paraId="6AD19B0C" w14:textId="77777777" w:rsidR="00BC295B" w:rsidRPr="001B2D50" w:rsidRDefault="00BC295B" w:rsidP="004D0BDB">
      <w:pPr>
        <w:rPr>
          <w:rFonts w:ascii="Arial" w:hAnsi="Arial" w:cs="Arial"/>
          <w:sz w:val="20"/>
          <w:szCs w:val="2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4785"/>
        <w:gridCol w:w="5130"/>
      </w:tblGrid>
      <w:tr w:rsidR="00BC295B" w14:paraId="6AD19B0F" w14:textId="77777777" w:rsidTr="00C66B13">
        <w:trPr>
          <w:trHeight w:val="3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D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 Name</w:t>
            </w:r>
          </w:p>
        </w:tc>
        <w:tc>
          <w:tcPr>
            <w:tcW w:w="5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6AD19B0E" w14:textId="77777777" w:rsidR="00BC295B" w:rsidRPr="00C66B13" w:rsidRDefault="00BC295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BC295B" w14:paraId="6AD19B12" w14:textId="77777777" w:rsidTr="00C66B13">
        <w:trPr>
          <w:trHeight w:val="6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0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IV - METERING, BILLING &amp; CREDIT - XXXXX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1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Time spent on resolving Billing/Credit, and Metering issues</w:t>
            </w:r>
          </w:p>
        </w:tc>
      </w:tr>
      <w:tr w:rsidR="00BC295B" w14:paraId="6AD19B15" w14:textId="77777777" w:rsidTr="00C66B13">
        <w:trPr>
          <w:trHeight w:val="6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3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IV - TARIFF, REG, INDUSTRY INFO - XXXXX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4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Customer interaction relating to Rates, Rules, Contracts, Tariffs, etc.</w:t>
            </w:r>
          </w:p>
        </w:tc>
      </w:tr>
      <w:tr w:rsidR="00BC295B" w14:paraId="6AD19B18" w14:textId="77777777" w:rsidTr="00C66B13">
        <w:trPr>
          <w:trHeight w:val="12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6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IV - RELIABILITY &amp; SERVICE - XXXXX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7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Any time spent on electric/gas service related activities like: outages, service planning, etc. Reliability is the most common Non-Bal Work Category.</w:t>
            </w:r>
          </w:p>
        </w:tc>
      </w:tr>
      <w:tr w:rsidR="00BC295B" w14:paraId="6AD19B1B" w14:textId="77777777" w:rsidTr="00C66B13">
        <w:trPr>
          <w:trHeight w:val="9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9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Community Edu. &amp; Outreach-XXXXX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A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Planning and/or attending community events (Chamber of Commerce, local organizations, etc.)</w:t>
            </w:r>
          </w:p>
        </w:tc>
      </w:tr>
      <w:tr w:rsidR="00BC295B" w14:paraId="6AD19B1E" w14:textId="77777777" w:rsidTr="00C66B13">
        <w:trPr>
          <w:trHeight w:val="121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9B1C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DLT Support-XXXXX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19B1D" w14:textId="77777777" w:rsidR="00BC295B" w:rsidRPr="00C66B13" w:rsidRDefault="00BC295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 xml:space="preserve">Time spent on DLT rollouts including meetings, events, etc., any expenses related to DLT events like rewards and recognition, meals, supplies, etc. </w:t>
            </w:r>
          </w:p>
        </w:tc>
      </w:tr>
    </w:tbl>
    <w:p w14:paraId="6AD19B1F" w14:textId="77777777" w:rsidR="004E080C" w:rsidRPr="001B2D50" w:rsidRDefault="004E080C" w:rsidP="004D0BDB">
      <w:pPr>
        <w:rPr>
          <w:rFonts w:ascii="Arial" w:hAnsi="Arial" w:cs="Arial"/>
          <w:sz w:val="20"/>
          <w:szCs w:val="20"/>
        </w:rPr>
      </w:pPr>
    </w:p>
    <w:p w14:paraId="6AD19B20" w14:textId="77777777" w:rsidR="001B2D50" w:rsidRPr="001B2D50" w:rsidRDefault="001B2D50" w:rsidP="004D0BDB">
      <w:pPr>
        <w:rPr>
          <w:rFonts w:ascii="Arial" w:hAnsi="Arial" w:cs="Arial"/>
          <w:sz w:val="20"/>
          <w:szCs w:val="20"/>
        </w:rPr>
      </w:pPr>
    </w:p>
    <w:p w14:paraId="6AD19B21" w14:textId="77777777" w:rsidR="004E080C" w:rsidRPr="001B2D50" w:rsidRDefault="004E080C">
      <w:pPr>
        <w:rPr>
          <w:rFonts w:ascii="Arial" w:hAnsi="Arial" w:cs="Arial"/>
          <w:sz w:val="20"/>
          <w:szCs w:val="20"/>
        </w:rPr>
      </w:pPr>
    </w:p>
    <w:p w14:paraId="6AD19B22" w14:textId="77777777" w:rsidR="008C68A8" w:rsidRPr="004E080C" w:rsidRDefault="008C68A8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0" w:name="_Ref406141853"/>
      <w:bookmarkStart w:id="11" w:name="_Toc406142492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Business Attraction and Retention (Prg FK</w:t>
      </w:r>
      <w:r w:rsid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)</w:t>
      </w:r>
      <w:bookmarkEnd w:id="10"/>
      <w:bookmarkEnd w:id="11"/>
    </w:p>
    <w:p w14:paraId="6AD19B23" w14:textId="77777777" w:rsidR="008C68A8" w:rsidRPr="001B2D50" w:rsidRDefault="008C68A8" w:rsidP="000B0832">
      <w:pPr>
        <w:rPr>
          <w:rFonts w:ascii="Arial" w:hAnsi="Arial" w:cs="Arial"/>
          <w:b/>
          <w:sz w:val="20"/>
          <w:szCs w:val="20"/>
        </w:rPr>
      </w:pPr>
    </w:p>
    <w:p w14:paraId="6AD19B24" w14:textId="77777777" w:rsidR="008C68A8" w:rsidRPr="001B2D50" w:rsidRDefault="008C68A8" w:rsidP="000B0832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 xml:space="preserve">Economic Development </w:t>
      </w:r>
      <w:r w:rsidR="004B2DF6" w:rsidRPr="001B2D50">
        <w:rPr>
          <w:rFonts w:ascii="Arial" w:hAnsi="Arial" w:cs="Arial"/>
          <w:sz w:val="20"/>
          <w:szCs w:val="20"/>
        </w:rPr>
        <w:t xml:space="preserve">and </w:t>
      </w:r>
      <w:r w:rsidR="00B77DCA" w:rsidRPr="001B2D50">
        <w:rPr>
          <w:rFonts w:ascii="Arial" w:hAnsi="Arial" w:cs="Arial"/>
          <w:sz w:val="20"/>
          <w:szCs w:val="20"/>
        </w:rPr>
        <w:t>Customer</w:t>
      </w:r>
      <w:r w:rsidR="004B2DF6" w:rsidRPr="001B2D50">
        <w:rPr>
          <w:rFonts w:ascii="Arial" w:hAnsi="Arial" w:cs="Arial"/>
          <w:sz w:val="20"/>
          <w:szCs w:val="20"/>
        </w:rPr>
        <w:t xml:space="preserve"> Retention </w:t>
      </w:r>
      <w:r w:rsidRPr="001B2D50">
        <w:rPr>
          <w:rFonts w:ascii="Arial" w:hAnsi="Arial" w:cs="Arial"/>
          <w:sz w:val="20"/>
          <w:szCs w:val="20"/>
        </w:rPr>
        <w:t xml:space="preserve">work associated with your area. </w:t>
      </w:r>
    </w:p>
    <w:p w14:paraId="6AD19B25" w14:textId="77777777" w:rsidR="004B2DF6" w:rsidRPr="001B2D50" w:rsidRDefault="004B2DF6" w:rsidP="000B0832">
      <w:pPr>
        <w:rPr>
          <w:rFonts w:ascii="Arial" w:hAnsi="Arial" w:cs="Arial"/>
          <w:b/>
          <w:sz w:val="20"/>
          <w:szCs w:val="20"/>
        </w:rPr>
      </w:pPr>
    </w:p>
    <w:p w14:paraId="6AD19B26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27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28" w14:textId="77777777" w:rsidR="001B2D50" w:rsidRDefault="001B2D50">
      <w:pPr>
        <w:rPr>
          <w:rFonts w:ascii="Arial Narrow" w:eastAsiaTheme="majorEastAsia" w:hAnsi="Arial Narrow" w:cstheme="majorBidi"/>
          <w:b/>
          <w:color w:val="FFFFFF" w:themeColor="background1"/>
          <w:sz w:val="36"/>
          <w:szCs w:val="36"/>
        </w:rPr>
      </w:pPr>
      <w:bookmarkStart w:id="12" w:name="_Ref406141859"/>
      <w:bookmarkStart w:id="13" w:name="_Toc406142493"/>
      <w:r>
        <w:rPr>
          <w:rFonts w:ascii="Arial Narrow" w:hAnsi="Arial Narrow"/>
          <w:bCs/>
          <w:color w:val="FFFFFF" w:themeColor="background1"/>
          <w:sz w:val="36"/>
          <w:szCs w:val="36"/>
        </w:rPr>
        <w:br w:type="page"/>
      </w:r>
    </w:p>
    <w:p w14:paraId="6AD19B29" w14:textId="77777777" w:rsidR="008C68A8" w:rsidRPr="004E080C" w:rsidRDefault="00D069A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Time Varying Pricing</w:t>
      </w:r>
      <w:bookmarkEnd w:id="12"/>
      <w:bookmarkEnd w:id="13"/>
    </w:p>
    <w:p w14:paraId="6AD19B2A" w14:textId="77777777" w:rsidR="00D069AD" w:rsidRPr="001B2D50" w:rsidRDefault="00D069AD" w:rsidP="000B0832">
      <w:pPr>
        <w:rPr>
          <w:rFonts w:ascii="Arial" w:hAnsi="Arial" w:cs="Arial"/>
          <w:sz w:val="20"/>
          <w:szCs w:val="20"/>
        </w:rPr>
      </w:pPr>
    </w:p>
    <w:p w14:paraId="2D381659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As part of a plan by the California Public Utilities Commission to ensure greater power reliability and a better energy future, businesses are transitioning to a Time-Varying Pricing electric rate structure. Many customers have already made this transition, with more to come in the future.  These include: Large Agriculture, Large Commercial / Industrial, Small / Medium Business, as well as Small / Medium Agriculture Customers.</w:t>
      </w:r>
    </w:p>
    <w:p w14:paraId="5BBE12D2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25E4EEDD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Only customer-facing interactions should be charged to TVP</w:t>
      </w:r>
    </w:p>
    <w:p w14:paraId="5AAC4F54" w14:textId="77777777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Non customer-facing personnel (local support, administrators, etc) will not charge any time to TVP. Employee expenses (mileage, meals, lodging, etc.) will not be allocated to TVP.</w:t>
      </w:r>
    </w:p>
    <w:p w14:paraId="1F6C2874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1358A2F0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Only identified ‘Most Impacted’ educations should be charged to TVP</w:t>
      </w:r>
    </w:p>
    <w:p w14:paraId="4A6F9EE3" w14:textId="77777777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 xml:space="preserve">Customer-facing employees will only charge to a TVP order number when working toward an identified ‘Most Impacted’ education. This includes preparation time directly related to a specific customer interaction (EI research, Tableau, etc). </w:t>
      </w:r>
    </w:p>
    <w:p w14:paraId="372F522B" w14:textId="77777777" w:rsidR="003839C3" w:rsidRPr="003839C3" w:rsidRDefault="003839C3" w:rsidP="003839C3">
      <w:pPr>
        <w:rPr>
          <w:rFonts w:ascii="Arial" w:hAnsi="Arial" w:cs="Arial"/>
          <w:sz w:val="20"/>
          <w:szCs w:val="20"/>
        </w:rPr>
      </w:pPr>
    </w:p>
    <w:p w14:paraId="2D6FFE15" w14:textId="77777777" w:rsidR="003839C3" w:rsidRPr="003839C3" w:rsidRDefault="003839C3" w:rsidP="003839C3">
      <w:pPr>
        <w:rPr>
          <w:rFonts w:ascii="Arial" w:hAnsi="Arial" w:cs="Arial"/>
          <w:b/>
          <w:bCs/>
          <w:sz w:val="20"/>
          <w:szCs w:val="20"/>
        </w:rPr>
      </w:pPr>
      <w:r w:rsidRPr="003839C3">
        <w:rPr>
          <w:rFonts w:ascii="Arial" w:hAnsi="Arial" w:cs="Arial"/>
          <w:b/>
          <w:bCs/>
          <w:sz w:val="20"/>
          <w:szCs w:val="20"/>
        </w:rPr>
        <w:t>Ongoing PDP and TOU activities will be charged to appropriate, existing order numbers</w:t>
      </w:r>
    </w:p>
    <w:p w14:paraId="3C7349E4" w14:textId="77777777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 xml:space="preserve">Ongoing ES&amp;S TVP activities (PDP notifications, Customer-Facing Events, BLT reporting, etc) will continue. Charging for these activities will use appropriate order numbers such as Non-Bal Rates, DR, Energy Efficiency, and others. </w:t>
      </w:r>
    </w:p>
    <w:p w14:paraId="2DE676A3" w14:textId="77777777" w:rsidR="003839C3" w:rsidRPr="003839C3" w:rsidRDefault="003839C3" w:rsidP="003839C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839C3">
        <w:rPr>
          <w:rFonts w:ascii="Arial" w:hAnsi="Arial" w:cs="Arial"/>
          <w:sz w:val="20"/>
          <w:szCs w:val="20"/>
        </w:rPr>
        <w:t>Ongoing TVP Specialist activities will continue to be charged to the designated order numbers.</w:t>
      </w:r>
    </w:p>
    <w:p w14:paraId="6AD19B34" w14:textId="77777777" w:rsidR="00D069AD" w:rsidRPr="001B2D50" w:rsidRDefault="00D069AD" w:rsidP="000B0832">
      <w:pPr>
        <w:rPr>
          <w:rFonts w:ascii="Arial" w:hAnsi="Arial" w:cs="Arial"/>
          <w:b/>
          <w:sz w:val="20"/>
          <w:szCs w:val="20"/>
        </w:rPr>
      </w:pPr>
    </w:p>
    <w:p w14:paraId="6AD19B35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36" w14:textId="77777777" w:rsidR="0060470C" w:rsidRPr="001B2D50" w:rsidRDefault="0060470C" w:rsidP="000B0832">
      <w:pPr>
        <w:rPr>
          <w:rFonts w:ascii="Arial" w:hAnsi="Arial" w:cs="Arial"/>
          <w:b/>
          <w:sz w:val="20"/>
          <w:szCs w:val="20"/>
        </w:rPr>
      </w:pPr>
    </w:p>
    <w:p w14:paraId="6AD19B37" w14:textId="77777777" w:rsidR="00600575" w:rsidRPr="001B2D50" w:rsidRDefault="00600575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4" w:name="_Ref406141864"/>
      <w:bookmarkStart w:id="15" w:name="_Toc406142494"/>
      <w:r w:rsidRPr="001B2D50">
        <w:rPr>
          <w:rFonts w:ascii="Arial Narrow" w:hAnsi="Arial Narrow"/>
          <w:bCs w:val="0"/>
          <w:color w:val="FFFFFF" w:themeColor="background1"/>
          <w:sz w:val="36"/>
          <w:szCs w:val="36"/>
        </w:rPr>
        <w:t>Electric Outreach</w:t>
      </w:r>
      <w:bookmarkEnd w:id="14"/>
      <w:bookmarkEnd w:id="15"/>
    </w:p>
    <w:p w14:paraId="6AD19B38" w14:textId="77777777" w:rsidR="00600575" w:rsidRPr="001B2D50" w:rsidRDefault="00600575" w:rsidP="000B0832">
      <w:pPr>
        <w:rPr>
          <w:rFonts w:ascii="Arial" w:hAnsi="Arial" w:cs="Arial"/>
          <w:sz w:val="20"/>
          <w:szCs w:val="20"/>
        </w:rPr>
      </w:pPr>
    </w:p>
    <w:p w14:paraId="6AD19B39" w14:textId="77777777" w:rsidR="009251FE" w:rsidRPr="001B2D50" w:rsidRDefault="007F0F13" w:rsidP="009251FE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ES&amp;S supports Customer Impact in their Electric Outreach activities.</w:t>
      </w:r>
      <w:r w:rsidR="009251FE" w:rsidRPr="001B2D50">
        <w:rPr>
          <w:rFonts w:ascii="Arial" w:hAnsi="Arial" w:cs="Arial"/>
          <w:sz w:val="20"/>
          <w:szCs w:val="20"/>
        </w:rPr>
        <w:t xml:space="preserve"> CRMs/Account Reps/ES&amp;S ELT should use this category to charge time spent on direct outreach or customer interactions </w:t>
      </w:r>
      <w:r w:rsidR="009251FE" w:rsidRPr="001B2D50">
        <w:rPr>
          <w:rFonts w:ascii="Arial" w:hAnsi="Arial" w:cs="Arial"/>
          <w:b/>
          <w:sz w:val="20"/>
          <w:szCs w:val="20"/>
        </w:rPr>
        <w:t>at the request of the Electric Reliability Specialist</w:t>
      </w:r>
      <w:r w:rsidR="00CA2EFA" w:rsidRPr="001B2D50">
        <w:rPr>
          <w:rFonts w:ascii="Arial" w:hAnsi="Arial" w:cs="Arial"/>
          <w:b/>
          <w:sz w:val="20"/>
          <w:szCs w:val="20"/>
        </w:rPr>
        <w:t xml:space="preserve"> in your division</w:t>
      </w:r>
      <w:r w:rsidR="009251FE" w:rsidRPr="001B2D50">
        <w:rPr>
          <w:rFonts w:ascii="Arial" w:hAnsi="Arial" w:cs="Arial"/>
          <w:sz w:val="20"/>
          <w:szCs w:val="20"/>
        </w:rPr>
        <w:t xml:space="preserve">.  This may include involvement in escalated customer complaints, canvassing (residential or commercial) and/or phone calls resulting from a project within scope (e.g. Targeted Circuit, TGRAM, FLISR, Reconductoring, NERC Alert, etc.).  </w:t>
      </w:r>
    </w:p>
    <w:p w14:paraId="6AD19B3A" w14:textId="77777777" w:rsidR="005E5D32" w:rsidRDefault="005E5D32" w:rsidP="009251FE">
      <w:pPr>
        <w:rPr>
          <w:rFonts w:ascii="Arial" w:hAnsi="Arial" w:cs="Arial"/>
          <w:sz w:val="20"/>
          <w:szCs w:val="20"/>
        </w:rPr>
      </w:pPr>
    </w:p>
    <w:p w14:paraId="6AD19B3B" w14:textId="77777777" w:rsidR="001B2D50" w:rsidRPr="001B2D50" w:rsidRDefault="001B2D50" w:rsidP="009251FE">
      <w:pPr>
        <w:rPr>
          <w:rFonts w:ascii="Arial" w:hAnsi="Arial" w:cs="Arial"/>
          <w:sz w:val="20"/>
          <w:szCs w:val="20"/>
        </w:rPr>
      </w:pPr>
    </w:p>
    <w:p w14:paraId="6AD19B3C" w14:textId="77777777" w:rsidR="008D249C" w:rsidRPr="001B2D50" w:rsidRDefault="008D249C">
      <w:pPr>
        <w:rPr>
          <w:rFonts w:ascii="Arial" w:hAnsi="Arial" w:cs="Arial"/>
          <w:b/>
          <w:sz w:val="20"/>
          <w:szCs w:val="20"/>
        </w:rPr>
      </w:pPr>
    </w:p>
    <w:p w14:paraId="6AD19B3D" w14:textId="77777777" w:rsidR="00C157A1" w:rsidRPr="004E080C" w:rsidRDefault="00D822FF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16" w:name="_Ref406141868"/>
      <w:bookmarkStart w:id="17" w:name="_Toc406142495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Gas Outreach</w:t>
      </w:r>
      <w:bookmarkEnd w:id="16"/>
      <w:bookmarkEnd w:id="17"/>
    </w:p>
    <w:p w14:paraId="6AD19B3E" w14:textId="77777777" w:rsidR="00C157A1" w:rsidRPr="001B2D50" w:rsidRDefault="00C157A1" w:rsidP="000B0832">
      <w:pPr>
        <w:rPr>
          <w:rFonts w:ascii="Arial" w:hAnsi="Arial" w:cs="Arial"/>
          <w:b/>
          <w:sz w:val="20"/>
          <w:szCs w:val="20"/>
        </w:rPr>
      </w:pPr>
    </w:p>
    <w:p w14:paraId="6AD19B3F" w14:textId="77777777" w:rsidR="0060470C" w:rsidRPr="001B2D50" w:rsidRDefault="00C157A1" w:rsidP="000B0832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>PSEP</w:t>
      </w:r>
      <w:r w:rsidR="004B2DF6" w:rsidRPr="001B2D50">
        <w:rPr>
          <w:rFonts w:ascii="Arial" w:hAnsi="Arial" w:cs="Arial"/>
          <w:b/>
          <w:sz w:val="20"/>
          <w:szCs w:val="20"/>
        </w:rPr>
        <w:t xml:space="preserve"> </w:t>
      </w:r>
      <w:r w:rsidR="001F3FD6" w:rsidRPr="001B2D50">
        <w:rPr>
          <w:rFonts w:ascii="Arial" w:hAnsi="Arial" w:cs="Arial"/>
          <w:b/>
          <w:sz w:val="20"/>
          <w:szCs w:val="20"/>
        </w:rPr>
        <w:t>(Pipeline Safety Enhancement Plan)</w:t>
      </w:r>
    </w:p>
    <w:p w14:paraId="6AD19B40" w14:textId="77777777" w:rsidR="008C68A8" w:rsidRPr="001B2D50" w:rsidRDefault="004B2DF6" w:rsidP="006047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PSEP progra</w:t>
      </w:r>
      <w:r w:rsidR="002F0829" w:rsidRPr="001B2D50">
        <w:rPr>
          <w:rFonts w:ascii="Arial" w:hAnsi="Arial" w:cs="Arial"/>
          <w:sz w:val="20"/>
          <w:szCs w:val="20"/>
        </w:rPr>
        <w:t>m rigorously verifies</w:t>
      </w:r>
      <w:r w:rsidRPr="001B2D50">
        <w:rPr>
          <w:rFonts w:ascii="Arial" w:hAnsi="Arial" w:cs="Arial"/>
          <w:sz w:val="20"/>
          <w:szCs w:val="20"/>
        </w:rPr>
        <w:t xml:space="preserve"> and upgrade</w:t>
      </w:r>
      <w:r w:rsidR="002F0829" w:rsidRPr="001B2D50">
        <w:rPr>
          <w:rFonts w:ascii="Arial" w:hAnsi="Arial" w:cs="Arial"/>
          <w:sz w:val="20"/>
          <w:szCs w:val="20"/>
        </w:rPr>
        <w:t>s</w:t>
      </w:r>
      <w:r w:rsidRPr="001B2D50">
        <w:rPr>
          <w:rFonts w:ascii="Arial" w:hAnsi="Arial" w:cs="Arial"/>
          <w:sz w:val="20"/>
          <w:szCs w:val="20"/>
        </w:rPr>
        <w:t xml:space="preserve"> the integrity of PG&amp;E’s nearly 6,000 miles of gas transmission and distribution pipelines.  </w:t>
      </w:r>
      <w:r w:rsidR="00C157A1" w:rsidRPr="001B2D50">
        <w:rPr>
          <w:rFonts w:ascii="Arial" w:hAnsi="Arial" w:cs="Arial"/>
          <w:sz w:val="20"/>
          <w:szCs w:val="20"/>
        </w:rPr>
        <w:t xml:space="preserve">Customer Impact </w:t>
      </w:r>
      <w:r w:rsidR="00AC5B71" w:rsidRPr="001B2D50">
        <w:rPr>
          <w:rFonts w:ascii="Arial" w:hAnsi="Arial" w:cs="Arial"/>
          <w:sz w:val="20"/>
          <w:szCs w:val="20"/>
        </w:rPr>
        <w:t>along with ES&amp;S provides customer support for PSEP.</w:t>
      </w:r>
    </w:p>
    <w:p w14:paraId="6AD19B41" w14:textId="77777777" w:rsidR="001F3FD6" w:rsidRPr="001B2D50" w:rsidRDefault="001F3FD6" w:rsidP="000B0832">
      <w:pPr>
        <w:rPr>
          <w:rFonts w:ascii="Arial" w:hAnsi="Arial" w:cs="Arial"/>
          <w:sz w:val="20"/>
          <w:szCs w:val="20"/>
        </w:rPr>
      </w:pPr>
    </w:p>
    <w:p w14:paraId="6AD19B42" w14:textId="77777777" w:rsidR="0060470C" w:rsidRPr="001B2D50" w:rsidRDefault="001F3FD6" w:rsidP="000B0832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 xml:space="preserve">Other </w:t>
      </w:r>
      <w:r w:rsidR="000B0832" w:rsidRPr="001B2D50">
        <w:rPr>
          <w:rFonts w:ascii="Arial" w:hAnsi="Arial" w:cs="Arial"/>
          <w:b/>
          <w:sz w:val="20"/>
          <w:szCs w:val="20"/>
        </w:rPr>
        <w:t>Gas Related Work</w:t>
      </w:r>
    </w:p>
    <w:p w14:paraId="6AD19B43" w14:textId="77777777" w:rsidR="000B0832" w:rsidRPr="001B2D50" w:rsidRDefault="00AC5B71" w:rsidP="0060470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Customer Impact</w:t>
      </w:r>
      <w:r w:rsidR="001F3FD6" w:rsidRPr="001B2D50">
        <w:rPr>
          <w:rFonts w:ascii="Arial" w:hAnsi="Arial" w:cs="Arial"/>
          <w:sz w:val="20"/>
          <w:szCs w:val="20"/>
        </w:rPr>
        <w:t xml:space="preserve"> provides specific gas orders</w:t>
      </w:r>
      <w:r w:rsidR="00565B85" w:rsidRPr="001B2D50">
        <w:rPr>
          <w:rFonts w:ascii="Arial" w:hAnsi="Arial" w:cs="Arial"/>
          <w:sz w:val="20"/>
          <w:szCs w:val="20"/>
        </w:rPr>
        <w:t>/projects</w:t>
      </w:r>
      <w:r w:rsidR="001F3FD6" w:rsidRPr="001B2D50">
        <w:rPr>
          <w:rFonts w:ascii="Arial" w:hAnsi="Arial" w:cs="Arial"/>
          <w:sz w:val="20"/>
          <w:szCs w:val="20"/>
        </w:rPr>
        <w:t xml:space="preserve"> </w:t>
      </w:r>
      <w:r w:rsidR="00565B85" w:rsidRPr="001B2D50">
        <w:rPr>
          <w:rFonts w:ascii="Arial" w:hAnsi="Arial" w:cs="Arial"/>
          <w:sz w:val="20"/>
          <w:szCs w:val="20"/>
        </w:rPr>
        <w:t>to use on an as needed basis.</w:t>
      </w:r>
    </w:p>
    <w:p w14:paraId="6AD19B44" w14:textId="77777777" w:rsidR="001B2D50" w:rsidRDefault="001B2D50">
      <w:pPr>
        <w:rPr>
          <w:rFonts w:ascii="Arial" w:hAnsi="Arial" w:cs="Arial"/>
          <w:sz w:val="20"/>
          <w:szCs w:val="20"/>
        </w:rPr>
      </w:pPr>
      <w:bookmarkStart w:id="18" w:name="_Ref406141875"/>
      <w:bookmarkStart w:id="19" w:name="_Toc406142496"/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AD19B45" w14:textId="77777777" w:rsidR="00AA4169" w:rsidRPr="004E080C" w:rsidRDefault="00AA4169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Pipeline Pathways</w:t>
      </w:r>
      <w:bookmarkEnd w:id="18"/>
      <w:bookmarkEnd w:id="19"/>
    </w:p>
    <w:p w14:paraId="6AD19B46" w14:textId="77777777" w:rsidR="00AA4169" w:rsidRPr="001B2D50" w:rsidRDefault="00AA4169" w:rsidP="000B0832">
      <w:pPr>
        <w:rPr>
          <w:rFonts w:ascii="Arial" w:hAnsi="Arial" w:cs="Arial"/>
          <w:sz w:val="20"/>
          <w:szCs w:val="20"/>
        </w:rPr>
      </w:pPr>
    </w:p>
    <w:p w14:paraId="6AD19B47" w14:textId="77777777" w:rsidR="00994B98" w:rsidRPr="001B2D50" w:rsidRDefault="00C13C67" w:rsidP="00994B98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>Pipeline Pathways is PG&amp;E’s program</w:t>
      </w:r>
      <w:r w:rsidR="00994B98" w:rsidRPr="001B2D50">
        <w:rPr>
          <w:rFonts w:ascii="Arial" w:hAnsi="Arial" w:cs="Arial"/>
          <w:sz w:val="20"/>
          <w:szCs w:val="20"/>
        </w:rPr>
        <w:t xml:space="preserve"> to survey 6,750 miles of its g</w:t>
      </w:r>
      <w:r w:rsidRPr="001B2D50">
        <w:rPr>
          <w:rFonts w:ascii="Arial" w:hAnsi="Arial" w:cs="Arial"/>
          <w:sz w:val="20"/>
          <w:szCs w:val="20"/>
        </w:rPr>
        <w:t>as transmission pipeline system</w:t>
      </w:r>
      <w:r w:rsidR="00994B98" w:rsidRPr="001B2D50">
        <w:rPr>
          <w:rFonts w:ascii="Arial" w:hAnsi="Arial" w:cs="Arial"/>
          <w:sz w:val="20"/>
          <w:szCs w:val="20"/>
        </w:rPr>
        <w:t xml:space="preserve"> </w:t>
      </w:r>
      <w:r w:rsidRPr="001B2D50">
        <w:rPr>
          <w:rFonts w:ascii="Arial" w:hAnsi="Arial" w:cs="Arial"/>
          <w:sz w:val="20"/>
          <w:szCs w:val="20"/>
        </w:rPr>
        <w:t>for rights-of-way</w:t>
      </w:r>
      <w:r w:rsidR="00994B98" w:rsidRPr="001B2D50">
        <w:rPr>
          <w:rFonts w:ascii="Arial" w:hAnsi="Arial" w:cs="Arial"/>
          <w:sz w:val="20"/>
          <w:szCs w:val="20"/>
        </w:rPr>
        <w:t xml:space="preserve"> along residential, commercial and industrial areas.</w:t>
      </w:r>
      <w:r w:rsidRPr="001B2D50">
        <w:rPr>
          <w:rFonts w:ascii="Arial" w:hAnsi="Arial" w:cs="Arial"/>
          <w:sz w:val="20"/>
          <w:szCs w:val="20"/>
        </w:rPr>
        <w:t xml:space="preserve"> Following the surveys, the</w:t>
      </w:r>
      <w:r w:rsidR="00994B98" w:rsidRPr="001B2D50">
        <w:rPr>
          <w:rFonts w:ascii="Arial" w:hAnsi="Arial" w:cs="Arial"/>
          <w:sz w:val="20"/>
          <w:szCs w:val="20"/>
        </w:rPr>
        <w:t xml:space="preserve"> </w:t>
      </w:r>
      <w:r w:rsidRPr="001B2D50">
        <w:rPr>
          <w:rFonts w:ascii="Arial" w:hAnsi="Arial" w:cs="Arial"/>
          <w:sz w:val="20"/>
          <w:szCs w:val="20"/>
        </w:rPr>
        <w:t>program identifies</w:t>
      </w:r>
      <w:r w:rsidR="00994B98" w:rsidRPr="001B2D50">
        <w:rPr>
          <w:rFonts w:ascii="Arial" w:hAnsi="Arial" w:cs="Arial"/>
          <w:sz w:val="20"/>
          <w:szCs w:val="20"/>
        </w:rPr>
        <w:t xml:space="preserve"> and remove</w:t>
      </w:r>
      <w:r w:rsidRPr="001B2D50">
        <w:rPr>
          <w:rFonts w:ascii="Arial" w:hAnsi="Arial" w:cs="Arial"/>
          <w:sz w:val="20"/>
          <w:szCs w:val="20"/>
        </w:rPr>
        <w:t>s</w:t>
      </w:r>
      <w:r w:rsidR="00994B98" w:rsidRPr="001B2D50">
        <w:rPr>
          <w:rFonts w:ascii="Arial" w:hAnsi="Arial" w:cs="Arial"/>
          <w:sz w:val="20"/>
          <w:szCs w:val="20"/>
        </w:rPr>
        <w:t xml:space="preserve"> any structure or vegetati</w:t>
      </w:r>
      <w:r w:rsidRPr="001B2D50">
        <w:rPr>
          <w:rFonts w:ascii="Arial" w:hAnsi="Arial" w:cs="Arial"/>
          <w:sz w:val="20"/>
          <w:szCs w:val="20"/>
        </w:rPr>
        <w:t>on that could interfere with PG&amp;E’s</w:t>
      </w:r>
      <w:r w:rsidR="00994B98" w:rsidRPr="001B2D50">
        <w:rPr>
          <w:rFonts w:ascii="Arial" w:hAnsi="Arial" w:cs="Arial"/>
          <w:sz w:val="20"/>
          <w:szCs w:val="20"/>
        </w:rPr>
        <w:t xml:space="preserve"> ability to maintain, inspect and safely operate the pipeline. The </w:t>
      </w:r>
      <w:r w:rsidR="00BE28D6" w:rsidRPr="001B2D50">
        <w:rPr>
          <w:rFonts w:ascii="Arial" w:hAnsi="Arial" w:cs="Arial"/>
          <w:sz w:val="20"/>
          <w:szCs w:val="20"/>
        </w:rPr>
        <w:t xml:space="preserve">Pipeline Pathways </w:t>
      </w:r>
      <w:r w:rsidR="00327517" w:rsidRPr="001B2D50">
        <w:rPr>
          <w:rFonts w:ascii="Arial" w:hAnsi="Arial" w:cs="Arial"/>
          <w:sz w:val="20"/>
          <w:szCs w:val="20"/>
        </w:rPr>
        <w:t xml:space="preserve">team </w:t>
      </w:r>
      <w:r w:rsidR="00BE28D6" w:rsidRPr="001B2D50">
        <w:rPr>
          <w:rFonts w:ascii="Arial" w:hAnsi="Arial" w:cs="Arial"/>
          <w:sz w:val="20"/>
          <w:szCs w:val="20"/>
        </w:rPr>
        <w:t xml:space="preserve">in Customer </w:t>
      </w:r>
      <w:r w:rsidR="00DD782A" w:rsidRPr="001B2D50">
        <w:rPr>
          <w:rFonts w:ascii="Arial" w:hAnsi="Arial" w:cs="Arial"/>
          <w:sz w:val="20"/>
          <w:szCs w:val="20"/>
        </w:rPr>
        <w:t>Impact works</w:t>
      </w:r>
      <w:r w:rsidR="00994B98" w:rsidRPr="001B2D50">
        <w:rPr>
          <w:rFonts w:ascii="Arial" w:hAnsi="Arial" w:cs="Arial"/>
          <w:sz w:val="20"/>
          <w:szCs w:val="20"/>
        </w:rPr>
        <w:t xml:space="preserve"> closely with property owners to find a solution that benefits everyone, typically at no cost to owners.</w:t>
      </w:r>
      <w:r w:rsidR="00BE28D6" w:rsidRPr="001B2D50">
        <w:rPr>
          <w:rFonts w:ascii="Arial" w:hAnsi="Arial" w:cs="Arial"/>
          <w:sz w:val="20"/>
          <w:szCs w:val="20"/>
        </w:rPr>
        <w:t xml:space="preserve"> ES&amp;S supports the Pipeline Pathways team with two work categories.</w:t>
      </w:r>
    </w:p>
    <w:p w14:paraId="6AD19B48" w14:textId="77777777" w:rsidR="005E5D32" w:rsidRPr="001B2D50" w:rsidRDefault="005E5D32" w:rsidP="00994B98">
      <w:pPr>
        <w:rPr>
          <w:rFonts w:ascii="Arial" w:hAnsi="Arial" w:cs="Arial"/>
          <w:sz w:val="20"/>
          <w:szCs w:val="20"/>
        </w:rPr>
      </w:pPr>
    </w:p>
    <w:p w14:paraId="6AD19B49" w14:textId="77777777" w:rsidR="00C13C67" w:rsidRPr="001B2D50" w:rsidRDefault="00C13C67" w:rsidP="00C13C67">
      <w:pPr>
        <w:rPr>
          <w:rFonts w:ascii="Arial" w:hAnsi="Arial" w:cs="Arial"/>
          <w:b/>
          <w:sz w:val="20"/>
          <w:szCs w:val="20"/>
        </w:rPr>
      </w:pPr>
      <w:r w:rsidRPr="001B2D50">
        <w:rPr>
          <w:rFonts w:ascii="Arial" w:hAnsi="Arial" w:cs="Arial"/>
          <w:b/>
          <w:sz w:val="20"/>
          <w:szCs w:val="20"/>
        </w:rPr>
        <w:t xml:space="preserve">Table </w:t>
      </w:r>
      <w:r w:rsidR="00896600" w:rsidRPr="001B2D50">
        <w:rPr>
          <w:rFonts w:ascii="Arial" w:hAnsi="Arial" w:cs="Arial"/>
          <w:b/>
          <w:sz w:val="20"/>
          <w:szCs w:val="20"/>
        </w:rPr>
        <w:t>6</w:t>
      </w:r>
      <w:r w:rsidRPr="001B2D50">
        <w:rPr>
          <w:rFonts w:ascii="Arial" w:hAnsi="Arial" w:cs="Arial"/>
          <w:b/>
          <w:sz w:val="20"/>
          <w:szCs w:val="20"/>
        </w:rPr>
        <w:t xml:space="preserve"> – Pipeline Pathways Work Categories</w:t>
      </w:r>
    </w:p>
    <w:p w14:paraId="6AD19B4A" w14:textId="77777777" w:rsidR="00AA4169" w:rsidRPr="001B2D50" w:rsidRDefault="00AA4169" w:rsidP="000B083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BC295B" w:rsidRPr="00C66B13" w14:paraId="6AD19B4D" w14:textId="77777777" w:rsidTr="00C66B13">
        <w:trPr>
          <w:trHeight w:val="315"/>
        </w:trPr>
        <w:tc>
          <w:tcPr>
            <w:tcW w:w="2500" w:type="pct"/>
            <w:shd w:val="clear" w:color="auto" w:fill="8DB3E2" w:themeFill="text2" w:themeFillTint="66"/>
            <w:hideMark/>
          </w:tcPr>
          <w:p w14:paraId="6AD19B4B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Work Category</w:t>
            </w:r>
          </w:p>
        </w:tc>
        <w:tc>
          <w:tcPr>
            <w:tcW w:w="2500" w:type="pct"/>
            <w:shd w:val="clear" w:color="auto" w:fill="8DB3E2" w:themeFill="text2" w:themeFillTint="66"/>
            <w:hideMark/>
          </w:tcPr>
          <w:p w14:paraId="6AD19B4C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</w:t>
            </w:r>
          </w:p>
        </w:tc>
      </w:tr>
      <w:tr w:rsidR="006357CC" w14:paraId="6AD19B50" w14:textId="77777777" w:rsidTr="00C66B13">
        <w:trPr>
          <w:trHeight w:val="890"/>
        </w:trPr>
        <w:tc>
          <w:tcPr>
            <w:tcW w:w="2500" w:type="pct"/>
            <w:vMerge w:val="restart"/>
            <w:vAlign w:val="center"/>
            <w:hideMark/>
          </w:tcPr>
          <w:p w14:paraId="6AD19B4E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Multi Customer/Community Outreach</w:t>
            </w:r>
          </w:p>
        </w:tc>
        <w:tc>
          <w:tcPr>
            <w:tcW w:w="2500" w:type="pct"/>
            <w:vAlign w:val="center"/>
            <w:hideMark/>
          </w:tcPr>
          <w:p w14:paraId="6AD19B4F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Outreach to groups of customers, not individual customers, regarding specific Pipeline Pathways work in their community.</w:t>
            </w:r>
          </w:p>
        </w:tc>
      </w:tr>
      <w:tr w:rsidR="006357CC" w14:paraId="6AD19B53" w14:textId="77777777" w:rsidTr="00C66B13">
        <w:trPr>
          <w:trHeight w:val="1421"/>
        </w:trPr>
        <w:tc>
          <w:tcPr>
            <w:tcW w:w="2500" w:type="pct"/>
            <w:vMerge/>
            <w:vAlign w:val="center"/>
            <w:hideMark/>
          </w:tcPr>
          <w:p w14:paraId="6AD19B51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6AD19B52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Presenting information on the Pipeline Pathways Program to Home Owners Associations, at PG&amp;E Community Open Houses, or canvassing neighborhoods.  Follow-up phone calls to groups of customers.</w:t>
            </w:r>
          </w:p>
        </w:tc>
      </w:tr>
      <w:tr w:rsidR="006357CC" w14:paraId="6AD19B56" w14:textId="77777777" w:rsidTr="00C66B13">
        <w:trPr>
          <w:trHeight w:val="629"/>
        </w:trPr>
        <w:tc>
          <w:tcPr>
            <w:tcW w:w="2500" w:type="pct"/>
            <w:vMerge w:val="restart"/>
            <w:vAlign w:val="center"/>
            <w:hideMark/>
          </w:tcPr>
          <w:p w14:paraId="6AD19B54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Organization Outreach</w:t>
            </w:r>
          </w:p>
        </w:tc>
        <w:tc>
          <w:tcPr>
            <w:tcW w:w="2500" w:type="pct"/>
            <w:vAlign w:val="center"/>
            <w:hideMark/>
          </w:tcPr>
          <w:p w14:paraId="6AD19B55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Outreach to organizations such as Farm Bureaus, Chamber of Commerce, etc.</w:t>
            </w:r>
          </w:p>
        </w:tc>
      </w:tr>
      <w:tr w:rsidR="006357CC" w14:paraId="6AD19B59" w14:textId="77777777" w:rsidTr="00C66B13">
        <w:trPr>
          <w:trHeight w:val="1520"/>
        </w:trPr>
        <w:tc>
          <w:tcPr>
            <w:tcW w:w="2500" w:type="pct"/>
            <w:vMerge/>
            <w:vAlign w:val="center"/>
            <w:hideMark/>
          </w:tcPr>
          <w:p w14:paraId="6AD19B57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  <w:hideMark/>
          </w:tcPr>
          <w:p w14:paraId="6AD19B58" w14:textId="77777777" w:rsidR="006357CC" w:rsidRPr="00C66B13" w:rsidRDefault="006357CC" w:rsidP="00C66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B13">
              <w:rPr>
                <w:rFonts w:ascii="Arial" w:hAnsi="Arial" w:cs="Arial"/>
                <w:color w:val="000000"/>
                <w:sz w:val="20"/>
                <w:szCs w:val="20"/>
              </w:rPr>
              <w:t>Meeting with organizations to provide general information on the Pipeline Pathways program, giving presentations to the membership of organizations on the Pipeline Pathways Program.  Follow-up with the organizations and providing collateral material.</w:t>
            </w:r>
          </w:p>
        </w:tc>
      </w:tr>
    </w:tbl>
    <w:p w14:paraId="6AD19B5A" w14:textId="77777777" w:rsidR="0060470C" w:rsidRDefault="0060470C" w:rsidP="000B0832">
      <w:pPr>
        <w:rPr>
          <w:rFonts w:ascii="Calibri" w:hAnsi="Calibri"/>
          <w:sz w:val="22"/>
          <w:szCs w:val="22"/>
        </w:rPr>
      </w:pPr>
    </w:p>
    <w:p w14:paraId="6AD19B5B" w14:textId="77777777" w:rsidR="0060470C" w:rsidRDefault="006047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AD19B5C" w14:textId="77777777" w:rsidR="00600575" w:rsidRPr="004E080C" w:rsidRDefault="00600575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0" w:name="_Ref406141883"/>
      <w:bookmarkStart w:id="21" w:name="_Toc406142497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>Storms</w:t>
      </w:r>
      <w:bookmarkEnd w:id="20"/>
      <w:bookmarkEnd w:id="21"/>
    </w:p>
    <w:p w14:paraId="6AD19B5D" w14:textId="77777777" w:rsidR="000B0832" w:rsidRPr="001B2D50" w:rsidRDefault="000B0832" w:rsidP="000B0832">
      <w:pPr>
        <w:rPr>
          <w:rFonts w:ascii="Arial" w:hAnsi="Arial" w:cs="Arial"/>
          <w:sz w:val="20"/>
          <w:szCs w:val="20"/>
        </w:rPr>
      </w:pPr>
    </w:p>
    <w:p w14:paraId="6AD19B5E" w14:textId="77777777" w:rsidR="00A00CBD" w:rsidRPr="001B2D50" w:rsidRDefault="00F1412D" w:rsidP="000B0832">
      <w:pPr>
        <w:rPr>
          <w:rFonts w:ascii="Arial" w:hAnsi="Arial" w:cs="Arial"/>
          <w:sz w:val="20"/>
          <w:szCs w:val="20"/>
        </w:rPr>
      </w:pPr>
      <w:r w:rsidRPr="001B2D50">
        <w:rPr>
          <w:rFonts w:ascii="Arial" w:hAnsi="Arial" w:cs="Arial"/>
          <w:sz w:val="20"/>
          <w:szCs w:val="20"/>
        </w:rPr>
        <w:t xml:space="preserve">ES&amp;S supports Major Events (Storms, etc.) by providing assistance to Electric Operations at the </w:t>
      </w:r>
      <w:r w:rsidR="00681DAE" w:rsidRPr="001B2D50">
        <w:rPr>
          <w:rFonts w:ascii="Arial" w:hAnsi="Arial" w:cs="Arial"/>
          <w:sz w:val="20"/>
          <w:szCs w:val="20"/>
        </w:rPr>
        <w:t>Region Emergency Centers (REC) and Operations Emergency Centers (OEC)</w:t>
      </w:r>
      <w:r w:rsidRPr="001B2D50">
        <w:rPr>
          <w:rFonts w:ascii="Arial" w:hAnsi="Arial" w:cs="Arial"/>
          <w:sz w:val="20"/>
          <w:szCs w:val="20"/>
        </w:rPr>
        <w:t>.  The REC/OEC</w:t>
      </w:r>
      <w:r w:rsidR="0005480D" w:rsidRPr="001B2D50">
        <w:rPr>
          <w:rFonts w:ascii="Arial" w:hAnsi="Arial" w:cs="Arial"/>
          <w:sz w:val="20"/>
          <w:szCs w:val="20"/>
        </w:rPr>
        <w:t xml:space="preserve"> Incident Commander or your supervisor</w:t>
      </w:r>
      <w:r w:rsidRPr="001B2D50">
        <w:rPr>
          <w:rFonts w:ascii="Arial" w:hAnsi="Arial" w:cs="Arial"/>
          <w:sz w:val="20"/>
          <w:szCs w:val="20"/>
        </w:rPr>
        <w:t xml:space="preserve"> will provide order numbers to use for your time.</w:t>
      </w:r>
      <w:r w:rsidR="00681DAE" w:rsidRPr="001B2D50">
        <w:rPr>
          <w:rFonts w:ascii="Arial" w:hAnsi="Arial" w:cs="Arial"/>
          <w:sz w:val="20"/>
          <w:szCs w:val="20"/>
        </w:rPr>
        <w:t xml:space="preserve"> </w:t>
      </w:r>
      <w:r w:rsidR="0005480D" w:rsidRPr="001B2D50">
        <w:rPr>
          <w:rFonts w:ascii="Arial" w:hAnsi="Arial" w:cs="Arial"/>
          <w:sz w:val="20"/>
          <w:szCs w:val="20"/>
        </w:rPr>
        <w:t xml:space="preserve">Each storm will have unique orders.  These orders are to be used only for time spent in the REC/OEC.  Storm support performed from other locations will be charged to IV - RELIABILITY &amp; SERVICE.  </w:t>
      </w:r>
    </w:p>
    <w:p w14:paraId="6AD19B5F" w14:textId="77777777" w:rsidR="00681DAE" w:rsidRPr="001B2D50" w:rsidRDefault="00681DAE" w:rsidP="000B0832">
      <w:pPr>
        <w:rPr>
          <w:rFonts w:ascii="Arial" w:hAnsi="Arial" w:cs="Arial"/>
          <w:sz w:val="20"/>
          <w:szCs w:val="20"/>
        </w:rPr>
      </w:pPr>
    </w:p>
    <w:p w14:paraId="6AD19B60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6AD19B61" w14:textId="77777777" w:rsidR="0060470C" w:rsidRPr="001B2D50" w:rsidRDefault="0060470C" w:rsidP="000B0832">
      <w:pPr>
        <w:rPr>
          <w:rFonts w:ascii="Arial" w:hAnsi="Arial" w:cs="Arial"/>
          <w:sz w:val="20"/>
          <w:szCs w:val="20"/>
        </w:rPr>
      </w:pPr>
    </w:p>
    <w:p w14:paraId="6AD19B62" w14:textId="77777777" w:rsidR="00681DAE" w:rsidRPr="004E080C" w:rsidRDefault="0005480D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2" w:name="_Toc406142498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Unique Situations</w:t>
      </w:r>
      <w:bookmarkEnd w:id="22"/>
    </w:p>
    <w:p w14:paraId="6AD19B63" w14:textId="77777777" w:rsidR="0005480D" w:rsidRPr="001B2D50" w:rsidRDefault="0005480D" w:rsidP="00832ECC">
      <w:pPr>
        <w:rPr>
          <w:rFonts w:ascii="Arial" w:hAnsi="Arial" w:cs="Arial"/>
          <w:sz w:val="20"/>
          <w:szCs w:val="20"/>
        </w:rPr>
      </w:pPr>
    </w:p>
    <w:p w14:paraId="6AD19B64" w14:textId="77777777" w:rsidR="0005480D" w:rsidRPr="001B2D50" w:rsidRDefault="0005480D" w:rsidP="0005480D">
      <w:pPr>
        <w:rPr>
          <w:rFonts w:ascii="Arial" w:eastAsia="Calibri" w:hAnsi="Arial" w:cs="Arial"/>
          <w:b/>
          <w:bCs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>Table 7 – Unique Situation Charging Guidance</w:t>
      </w:r>
    </w:p>
    <w:p w14:paraId="6AD19B65" w14:textId="77777777" w:rsidR="004E080C" w:rsidRPr="001B2D50" w:rsidRDefault="004E080C" w:rsidP="0005480D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108" w:type="dxa"/>
        <w:shd w:val="clear" w:color="auto" w:fill="8DB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320"/>
      </w:tblGrid>
      <w:tr w:rsidR="0005480D" w:rsidRPr="0005480D" w14:paraId="6AD19B68" w14:textId="77777777" w:rsidTr="0005480D"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6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9B67" w14:textId="77777777" w:rsidR="0005480D" w:rsidRPr="00C66B13" w:rsidRDefault="0005480D" w:rsidP="00C66B13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b/>
                <w:sz w:val="20"/>
                <w:szCs w:val="20"/>
              </w:rPr>
              <w:t>Guidelines:</w:t>
            </w:r>
          </w:p>
        </w:tc>
      </w:tr>
      <w:tr w:rsidR="0005480D" w:rsidRPr="0005480D" w14:paraId="6AD19B6B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9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driving after hours to another location for a meeting that will take place the following day.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A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out the after-hours drive time to the same ratio of order numbers you used for the meeting itself, but use the “travel” option under activity type (Att/Abs type) in SAP.</w:t>
            </w:r>
          </w:p>
        </w:tc>
      </w:tr>
      <w:tr w:rsidR="0005480D" w:rsidRPr="0005480D" w14:paraId="6AD19B6E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C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very long day and your supervisor approves you to leave a small amount earlier on the following day or another day within that same week.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D" w14:textId="77777777" w:rsidR="0005480D" w:rsidRPr="00C66B13" w:rsidRDefault="0005480D" w:rsidP="00F80F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Charge the extra hours to the order number you were working on. On the short day, charge to “Time off With Pay.” (Note: </w:t>
            </w:r>
            <w:r w:rsidR="00F80FA5">
              <w:rPr>
                <w:rFonts w:ascii="Arial" w:eastAsia="Calibri" w:hAnsi="Arial" w:cs="Arial"/>
                <w:sz w:val="20"/>
                <w:szCs w:val="20"/>
              </w:rPr>
              <w:t>A future ti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me entry system </w:t>
            </w:r>
            <w:r w:rsidR="00F80FA5">
              <w:rPr>
                <w:rFonts w:ascii="Arial" w:eastAsia="Calibri" w:hAnsi="Arial" w:cs="Arial"/>
                <w:sz w:val="20"/>
                <w:szCs w:val="20"/>
              </w:rPr>
              <w:t xml:space="preserve">update will 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allow a check on total hours per week instead of total hours per day</w:t>
            </w:r>
            <w:r w:rsidR="00F80FA5">
              <w:rPr>
                <w:rFonts w:ascii="Arial" w:eastAsia="Calibri" w:hAnsi="Arial" w:cs="Arial"/>
                <w:sz w:val="20"/>
                <w:szCs w:val="20"/>
              </w:rPr>
              <w:t>. At this point you wouldn’t do Time-Off With Pay and would just leave the day short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 xml:space="preserve">). </w:t>
            </w:r>
          </w:p>
        </w:tc>
      </w:tr>
      <w:tr w:rsidR="0005480D" w:rsidRPr="0005480D" w14:paraId="6AD19B71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6F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on-call duties in the middle of the night but don’t report to the EOC for a storm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0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those hours to reliability</w:t>
            </w:r>
          </w:p>
        </w:tc>
      </w:tr>
      <w:tr w:rsidR="0005480D" w:rsidRPr="0005480D" w14:paraId="6AD19B74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2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EOC duties for a storm due to a request to report to the EOC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3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order number given for the storm</w:t>
            </w:r>
          </w:p>
        </w:tc>
      </w:tr>
      <w:tr w:rsidR="0005480D" w:rsidRPr="0005480D" w14:paraId="6AD19B77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5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community event on a weekend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6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Community events category</w:t>
            </w:r>
          </w:p>
        </w:tc>
      </w:tr>
      <w:tr w:rsidR="0005480D" w:rsidRPr="0005480D" w14:paraId="6AD19B7A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8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work a community event after hours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9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Charge to the Community events category</w:t>
            </w:r>
          </w:p>
        </w:tc>
      </w:tr>
      <w:tr w:rsidR="0005480D" w:rsidRPr="0005480D" w14:paraId="6AD19B7D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B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on an RDO schedule and there is a holiday that day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C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Be sure to add in one hour of “floating holiday” to the normal holiday to get to the required 9 hours for that day.</w:t>
            </w:r>
          </w:p>
        </w:tc>
      </w:tr>
      <w:tr w:rsidR="0005480D" w:rsidRPr="0005480D" w14:paraId="6AD19B80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E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want to do a one-time switch of your RDO to another week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7F" w14:textId="77777777" w:rsidR="0005480D" w:rsidRPr="00C66B13" w:rsidRDefault="0005480D" w:rsidP="00C66B1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need the timekeeper to do a temporary schedule change in CATS</w:t>
            </w:r>
          </w:p>
        </w:tc>
      </w:tr>
      <w:tr w:rsidR="0005480D" w:rsidRPr="0005480D" w14:paraId="6AD19B83" w14:textId="77777777" w:rsidTr="00C66B13"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1" w14:textId="77777777" w:rsidR="0005480D" w:rsidRPr="00C66B13" w:rsidRDefault="0005480D" w:rsidP="001F65C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66B13">
              <w:rPr>
                <w:rFonts w:ascii="Arial" w:eastAsia="Calibri" w:hAnsi="Arial" w:cs="Arial"/>
                <w:sz w:val="20"/>
                <w:szCs w:val="20"/>
              </w:rPr>
              <w:t>You are authorized to charge over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time for Storm 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activities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where you were physically located in the OEC or REC</w:t>
            </w:r>
            <w:r w:rsidRPr="00C66B1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This starts at 2 hrs past your scheduled work day (i.e. overtime would be everything past 10 hrs on an 8 hr day, or everything past 2 hrs on a holiday or weekend).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9B82" w14:textId="3C3046F7" w:rsidR="0005480D" w:rsidRPr="00C66B13" w:rsidRDefault="009C3859" w:rsidP="009C385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Enter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storm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 xml:space="preserve">order number given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into SAP the receiving column, </w:t>
            </w:r>
            <w:r w:rsidR="0005480D" w:rsidRPr="00C66B13">
              <w:rPr>
                <w:rFonts w:ascii="Arial" w:eastAsia="Calibri" w:hAnsi="Arial" w:cs="Arial"/>
                <w:sz w:val="20"/>
                <w:szCs w:val="20"/>
              </w:rPr>
              <w:t>“4” in the work reason column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for “overtime at standard rate”,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“hrs worked” in the activity type column, </w:t>
            </w:r>
            <w:r w:rsidR="001F65C8">
              <w:rPr>
                <w:rFonts w:ascii="Arial" w:eastAsia="Calibri" w:hAnsi="Arial" w:cs="Arial"/>
                <w:sz w:val="20"/>
                <w:szCs w:val="20"/>
              </w:rPr>
              <w:t>and “0005” in the Operation Column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(you may have to add some of these columns back into SAP</w:t>
            </w:r>
            <w:r w:rsidR="00126256">
              <w:rPr>
                <w:rFonts w:ascii="Arial" w:eastAsia="Calibri" w:hAnsi="Arial" w:cs="Arial"/>
                <w:sz w:val="20"/>
                <w:szCs w:val="20"/>
              </w:rPr>
              <w:t xml:space="preserve"> to be visible</w:t>
            </w:r>
            <w:r w:rsidR="00BB74D1">
              <w:rPr>
                <w:rFonts w:ascii="Arial" w:eastAsia="Calibri" w:hAnsi="Arial" w:cs="Arial"/>
                <w:sz w:val="20"/>
                <w:szCs w:val="20"/>
              </w:rPr>
              <w:t xml:space="preserve"> if your removed them in your template).</w:t>
            </w:r>
          </w:p>
        </w:tc>
      </w:tr>
    </w:tbl>
    <w:p w14:paraId="6AD19B84" w14:textId="77777777" w:rsidR="0005480D" w:rsidRDefault="0005480D" w:rsidP="00832ECC">
      <w:pPr>
        <w:rPr>
          <w:rFonts w:ascii="Calibri" w:hAnsi="Calibri"/>
          <w:sz w:val="22"/>
          <w:szCs w:val="22"/>
        </w:rPr>
      </w:pPr>
    </w:p>
    <w:p w14:paraId="6AD19B85" w14:textId="77777777" w:rsidR="006357CC" w:rsidRDefault="006357CC">
      <w:pPr>
        <w:rPr>
          <w:rFonts w:ascii="Calibri" w:hAnsi="Calibri"/>
          <w:b/>
          <w:sz w:val="28"/>
          <w:szCs w:val="22"/>
          <w:u w:val="single"/>
        </w:rPr>
      </w:pPr>
      <w:r>
        <w:rPr>
          <w:rFonts w:ascii="Calibri" w:hAnsi="Calibri"/>
          <w:b/>
          <w:sz w:val="28"/>
          <w:szCs w:val="22"/>
          <w:u w:val="single"/>
        </w:rPr>
        <w:br w:type="page"/>
      </w:r>
    </w:p>
    <w:p w14:paraId="6AD19B86" w14:textId="71252ED3" w:rsidR="006357CC" w:rsidRPr="004E080C" w:rsidRDefault="006357CC" w:rsidP="004E080C">
      <w:pPr>
        <w:pStyle w:val="Heading1"/>
        <w:shd w:val="clear" w:color="auto" w:fill="000000" w:themeFill="text1"/>
        <w:spacing w:before="0"/>
        <w:rPr>
          <w:rFonts w:ascii="Arial Narrow" w:hAnsi="Arial Narrow"/>
          <w:bCs w:val="0"/>
          <w:color w:val="FFFFFF" w:themeColor="background1"/>
          <w:sz w:val="36"/>
          <w:szCs w:val="36"/>
        </w:rPr>
      </w:pPr>
      <w:bookmarkStart w:id="23" w:name="_Toc406142499"/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lastRenderedPageBreak/>
        <w:t xml:space="preserve">ES&amp;S Leadership 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>&amp; Admin</w:t>
      </w:r>
      <w:r w:rsidR="0051515E">
        <w:rPr>
          <w:rFonts w:ascii="Arial Narrow" w:hAnsi="Arial Narrow"/>
          <w:bCs w:val="0"/>
          <w:color w:val="FFFFFF" w:themeColor="background1"/>
          <w:sz w:val="36"/>
          <w:szCs w:val="36"/>
        </w:rPr>
        <w:t>istrative Assistant</w:t>
      </w:r>
      <w:r w:rsidR="0096191C">
        <w:rPr>
          <w:rFonts w:ascii="Arial Narrow" w:hAnsi="Arial Narrow"/>
          <w:bCs w:val="0"/>
          <w:color w:val="FFFFFF" w:themeColor="background1"/>
          <w:sz w:val="36"/>
          <w:szCs w:val="36"/>
        </w:rPr>
        <w:t xml:space="preserve"> </w:t>
      </w:r>
      <w:r w:rsidRPr="004E080C">
        <w:rPr>
          <w:rFonts w:ascii="Arial Narrow" w:hAnsi="Arial Narrow"/>
          <w:bCs w:val="0"/>
          <w:color w:val="FFFFFF" w:themeColor="background1"/>
          <w:sz w:val="36"/>
          <w:szCs w:val="36"/>
        </w:rPr>
        <w:t>Charging Guidelines</w:t>
      </w:r>
      <w:bookmarkEnd w:id="23"/>
    </w:p>
    <w:p w14:paraId="6AD19B87" w14:textId="77777777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</w:p>
    <w:p w14:paraId="67852A61" w14:textId="74EC552A" w:rsidR="007A4A23" w:rsidRPr="001B2D50" w:rsidRDefault="0051515E" w:rsidP="007A4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ADMINSTRATIVE ASSISTANTS</w:t>
      </w:r>
      <w:r w:rsidR="007A4A23" w:rsidRPr="00690B1B">
        <w:rPr>
          <w:rFonts w:ascii="Arial" w:hAnsi="Arial" w:cs="Arial"/>
          <w:b/>
          <w:sz w:val="22"/>
          <w:szCs w:val="20"/>
        </w:rPr>
        <w:t>:</w:t>
      </w:r>
      <w:r w:rsidR="007A4A23" w:rsidRPr="001B2D50">
        <w:rPr>
          <w:rFonts w:ascii="Arial" w:hAnsi="Arial" w:cs="Arial"/>
          <w:sz w:val="20"/>
          <w:szCs w:val="20"/>
        </w:rPr>
        <w:t xml:space="preserve"> All </w:t>
      </w:r>
      <w:r w:rsidR="00F74405">
        <w:rPr>
          <w:rFonts w:ascii="Arial" w:hAnsi="Arial" w:cs="Arial"/>
          <w:sz w:val="20"/>
          <w:szCs w:val="20"/>
        </w:rPr>
        <w:t xml:space="preserve">time charged to a PCC by Leadership and </w:t>
      </w:r>
      <w:r>
        <w:rPr>
          <w:rFonts w:ascii="Arial" w:hAnsi="Arial" w:cs="Arial"/>
          <w:sz w:val="20"/>
          <w:szCs w:val="20"/>
        </w:rPr>
        <w:t>Admin</w:t>
      </w:r>
      <w:r w:rsidR="00F74405">
        <w:rPr>
          <w:rFonts w:ascii="Arial" w:hAnsi="Arial" w:cs="Arial"/>
          <w:sz w:val="20"/>
          <w:szCs w:val="20"/>
        </w:rPr>
        <w:t xml:space="preserve"> employees </w:t>
      </w:r>
      <w:r w:rsidR="007A4A23" w:rsidRPr="001B2D50">
        <w:rPr>
          <w:rFonts w:ascii="Arial" w:hAnsi="Arial" w:cs="Arial"/>
          <w:sz w:val="20"/>
          <w:szCs w:val="20"/>
        </w:rPr>
        <w:t xml:space="preserve">is distributed </w:t>
      </w:r>
      <w:r w:rsidR="007A4A23">
        <w:rPr>
          <w:rFonts w:ascii="Arial" w:hAnsi="Arial" w:cs="Arial"/>
          <w:sz w:val="20"/>
          <w:szCs w:val="20"/>
        </w:rPr>
        <w:t>over all of</w:t>
      </w:r>
      <w:r w:rsidR="007A4A23" w:rsidRPr="001B2D50">
        <w:rPr>
          <w:rFonts w:ascii="Arial" w:hAnsi="Arial" w:cs="Arial"/>
          <w:sz w:val="20"/>
          <w:szCs w:val="20"/>
        </w:rPr>
        <w:t xml:space="preserve"> the order numbers that their </w:t>
      </w:r>
      <w:r w:rsidR="00F74405">
        <w:rPr>
          <w:rFonts w:ascii="Arial" w:hAnsi="Arial" w:cs="Arial"/>
          <w:sz w:val="20"/>
          <w:szCs w:val="20"/>
        </w:rPr>
        <w:t xml:space="preserve">own </w:t>
      </w:r>
      <w:r w:rsidR="007A4A23" w:rsidRPr="001B2D50">
        <w:rPr>
          <w:rFonts w:ascii="Arial" w:hAnsi="Arial" w:cs="Arial"/>
          <w:sz w:val="20"/>
          <w:szCs w:val="20"/>
        </w:rPr>
        <w:t>team use</w:t>
      </w:r>
      <w:r w:rsidR="00F74405">
        <w:rPr>
          <w:rFonts w:ascii="Arial" w:hAnsi="Arial" w:cs="Arial"/>
          <w:sz w:val="20"/>
          <w:szCs w:val="20"/>
        </w:rPr>
        <w:t>s</w:t>
      </w:r>
      <w:r w:rsidR="007A4A23" w:rsidRPr="001B2D50">
        <w:rPr>
          <w:rFonts w:ascii="Arial" w:hAnsi="Arial" w:cs="Arial"/>
          <w:sz w:val="20"/>
          <w:szCs w:val="20"/>
        </w:rPr>
        <w:t xml:space="preserve"> </w:t>
      </w:r>
      <w:r w:rsidR="007A4A23">
        <w:rPr>
          <w:rFonts w:ascii="Arial" w:hAnsi="Arial" w:cs="Arial"/>
          <w:sz w:val="20"/>
          <w:szCs w:val="20"/>
        </w:rPr>
        <w:t xml:space="preserve">by </w:t>
      </w:r>
      <w:r w:rsidR="007A4A23" w:rsidRPr="001B2D50">
        <w:rPr>
          <w:rFonts w:ascii="Arial" w:hAnsi="Arial" w:cs="Arial"/>
          <w:sz w:val="20"/>
          <w:szCs w:val="20"/>
        </w:rPr>
        <w:t>split</w:t>
      </w:r>
      <w:r w:rsidR="007A4A23">
        <w:rPr>
          <w:rFonts w:ascii="Arial" w:hAnsi="Arial" w:cs="Arial"/>
          <w:sz w:val="20"/>
          <w:szCs w:val="20"/>
        </w:rPr>
        <w:t>ting it out at the same ratio that their team charges to these order numbers. As a result, a</w:t>
      </w:r>
      <w:r w:rsidR="007A4A23" w:rsidRPr="001B2D50">
        <w:rPr>
          <w:rFonts w:ascii="Arial" w:hAnsi="Arial" w:cs="Arial"/>
          <w:sz w:val="20"/>
          <w:szCs w:val="20"/>
        </w:rPr>
        <w:t xml:space="preserve"> </w:t>
      </w:r>
      <w:r w:rsidR="007A4A23">
        <w:rPr>
          <w:rFonts w:ascii="Arial" w:hAnsi="Arial" w:cs="Arial"/>
          <w:sz w:val="20"/>
          <w:szCs w:val="20"/>
        </w:rPr>
        <w:t>time keeper</w:t>
      </w:r>
      <w:r w:rsidR="007A4A23" w:rsidRPr="001B2D50">
        <w:rPr>
          <w:rFonts w:ascii="Arial" w:hAnsi="Arial" w:cs="Arial"/>
          <w:sz w:val="20"/>
          <w:szCs w:val="20"/>
        </w:rPr>
        <w:t xml:space="preserve"> should charg</w:t>
      </w:r>
      <w:r w:rsidR="007A4A23">
        <w:rPr>
          <w:rFonts w:ascii="Arial" w:hAnsi="Arial" w:cs="Arial"/>
          <w:sz w:val="20"/>
          <w:szCs w:val="20"/>
        </w:rPr>
        <w:t>e all time</w:t>
      </w:r>
      <w:r w:rsidR="007A4A23" w:rsidRPr="001B2D50">
        <w:rPr>
          <w:rFonts w:ascii="Arial" w:hAnsi="Arial" w:cs="Arial"/>
          <w:sz w:val="20"/>
          <w:szCs w:val="20"/>
        </w:rPr>
        <w:t xml:space="preserve"> to their PCC (Hours Worked category) or other standard exceptions (Sick, Holiday, etc.). The following additional exceptions should be used as well:</w:t>
      </w:r>
    </w:p>
    <w:p w14:paraId="7AB7AAD8" w14:textId="77777777" w:rsidR="007A4A23" w:rsidRPr="001B2D50" w:rsidRDefault="007A4A23" w:rsidP="007A4A23">
      <w:pPr>
        <w:rPr>
          <w:rFonts w:ascii="Arial" w:hAnsi="Arial" w:cs="Arial"/>
          <w:sz w:val="20"/>
          <w:szCs w:val="20"/>
        </w:rPr>
      </w:pPr>
    </w:p>
    <w:p w14:paraId="7DFEC73B" w14:textId="0C0C7016" w:rsidR="007A4A23" w:rsidRPr="001B2D50" w:rsidRDefault="007A4A23" w:rsidP="007A4A23">
      <w:pPr>
        <w:rPr>
          <w:rFonts w:ascii="Arial" w:hAnsi="Arial" w:cs="Arial"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Table 8 – </w:t>
      </w:r>
      <w:r w:rsidR="00C7336B">
        <w:rPr>
          <w:rFonts w:ascii="Arial" w:eastAsia="Calibri" w:hAnsi="Arial" w:cs="Arial"/>
          <w:b/>
          <w:bCs/>
          <w:sz w:val="20"/>
          <w:szCs w:val="20"/>
        </w:rPr>
        <w:t>Administrative Assistant</w:t>
      </w: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 Unique Situation Charging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580"/>
        <w:gridCol w:w="4320"/>
      </w:tblGrid>
      <w:tr w:rsidR="007A4A23" w:rsidRPr="00C66B13" w14:paraId="568A3247" w14:textId="77777777" w:rsidTr="00C305A9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22E148D" w14:textId="77777777" w:rsidR="007A4A23" w:rsidRPr="00C66B13" w:rsidRDefault="007A4A23" w:rsidP="00C30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CD73147" w14:textId="77777777" w:rsidR="007A4A23" w:rsidRPr="00C66B13" w:rsidRDefault="007A4A23" w:rsidP="00C305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Guideline:</w:t>
            </w:r>
          </w:p>
        </w:tc>
      </w:tr>
      <w:tr w:rsidR="007A4A23" w:rsidRPr="001B2D50" w14:paraId="18CFBF9D" w14:textId="77777777" w:rsidTr="00C305A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0008" w14:textId="3D5CD5F3" w:rsidR="007A4A23" w:rsidRPr="001B2D50" w:rsidRDefault="0066420E" w:rsidP="00C30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assisting the DLT Manager with DLT work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1489" w14:textId="25769F88" w:rsidR="007A4A23" w:rsidRPr="001B2D50" w:rsidRDefault="007A4A23" w:rsidP="0066420E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 xml:space="preserve">Charge to </w:t>
            </w:r>
            <w:r w:rsidR="0066420E">
              <w:rPr>
                <w:rFonts w:ascii="Arial" w:hAnsi="Arial" w:cs="Arial"/>
                <w:sz w:val="20"/>
                <w:szCs w:val="20"/>
              </w:rPr>
              <w:t>the DLT order number</w:t>
            </w:r>
          </w:p>
        </w:tc>
      </w:tr>
      <w:tr w:rsidR="007A4A23" w:rsidRPr="001B2D50" w14:paraId="302EE1F0" w14:textId="77777777" w:rsidTr="00C305A9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969D" w14:textId="77777777" w:rsidR="007A4A23" w:rsidRPr="001B2D50" w:rsidRDefault="007A4A23" w:rsidP="00C305A9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brought in to work on a special project or issue with a special order number (BI, CI or ES&amp;S) that wouldn’t be appropriately distributed in the right ratio amongst your employees.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0829" w14:textId="77777777" w:rsidR="007A4A23" w:rsidRPr="001B2D50" w:rsidRDefault="007A4A23" w:rsidP="00C305A9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that order number.</w:t>
            </w:r>
          </w:p>
        </w:tc>
      </w:tr>
    </w:tbl>
    <w:p w14:paraId="0DFF9120" w14:textId="77777777" w:rsidR="007A4A23" w:rsidRPr="00690B1B" w:rsidRDefault="007A4A23" w:rsidP="006357CC">
      <w:pPr>
        <w:rPr>
          <w:rFonts w:ascii="Arial" w:hAnsi="Arial" w:cs="Arial"/>
          <w:b/>
          <w:sz w:val="16"/>
          <w:szCs w:val="20"/>
        </w:rPr>
      </w:pPr>
    </w:p>
    <w:p w14:paraId="206F43B5" w14:textId="77777777" w:rsidR="007A4A23" w:rsidRPr="00690B1B" w:rsidRDefault="007A4A23" w:rsidP="006357CC">
      <w:pPr>
        <w:rPr>
          <w:rFonts w:ascii="Arial" w:hAnsi="Arial" w:cs="Arial"/>
          <w:b/>
          <w:sz w:val="18"/>
          <w:szCs w:val="20"/>
        </w:rPr>
      </w:pPr>
    </w:p>
    <w:p w14:paraId="6AD19B88" w14:textId="243C0696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  <w:r w:rsidRPr="00690B1B">
        <w:rPr>
          <w:rFonts w:ascii="Arial" w:hAnsi="Arial" w:cs="Arial"/>
          <w:b/>
          <w:sz w:val="22"/>
          <w:szCs w:val="20"/>
        </w:rPr>
        <w:t>SUPERVISORS:</w:t>
      </w:r>
      <w:r w:rsidRPr="001B2D50">
        <w:rPr>
          <w:rFonts w:ascii="Arial" w:hAnsi="Arial" w:cs="Arial"/>
          <w:sz w:val="20"/>
          <w:szCs w:val="20"/>
        </w:rPr>
        <w:t xml:space="preserve"> </w:t>
      </w:r>
      <w:r w:rsidR="007C58F5" w:rsidRPr="001B2D50">
        <w:rPr>
          <w:rFonts w:ascii="Arial" w:hAnsi="Arial" w:cs="Arial"/>
          <w:sz w:val="20"/>
          <w:szCs w:val="20"/>
        </w:rPr>
        <w:t xml:space="preserve">All </w:t>
      </w:r>
      <w:r w:rsidR="007C58F5">
        <w:rPr>
          <w:rFonts w:ascii="Arial" w:hAnsi="Arial" w:cs="Arial"/>
          <w:sz w:val="20"/>
          <w:szCs w:val="20"/>
        </w:rPr>
        <w:t>Supervisor</w:t>
      </w:r>
      <w:r w:rsidR="007C58F5" w:rsidRPr="001B2D50">
        <w:rPr>
          <w:rFonts w:ascii="Arial" w:hAnsi="Arial" w:cs="Arial"/>
          <w:sz w:val="20"/>
          <w:szCs w:val="20"/>
        </w:rPr>
        <w:t xml:space="preserve"> time should also be charged to the PCC (Hours Worked) or other standard exceptions (Sick, Holiday, etc.)</w:t>
      </w:r>
      <w:r w:rsidR="007C58F5">
        <w:rPr>
          <w:rFonts w:ascii="Arial" w:hAnsi="Arial" w:cs="Arial"/>
          <w:sz w:val="20"/>
          <w:szCs w:val="20"/>
        </w:rPr>
        <w:t xml:space="preserve"> for the same reasons listed above for time keepers</w:t>
      </w:r>
      <w:r w:rsidR="007C58F5" w:rsidRPr="001B2D50">
        <w:rPr>
          <w:rFonts w:ascii="Arial" w:hAnsi="Arial" w:cs="Arial"/>
          <w:sz w:val="20"/>
          <w:szCs w:val="20"/>
        </w:rPr>
        <w:t>. The following additional exceptions should be used as well:</w:t>
      </w:r>
    </w:p>
    <w:p w14:paraId="6AD19B89" w14:textId="77777777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</w:p>
    <w:p w14:paraId="6AD19B8A" w14:textId="10849FC9" w:rsidR="006357CC" w:rsidRPr="001B2D50" w:rsidRDefault="006357CC" w:rsidP="006357CC">
      <w:pPr>
        <w:rPr>
          <w:rFonts w:ascii="Arial" w:eastAsia="Calibri" w:hAnsi="Arial" w:cs="Arial"/>
          <w:b/>
          <w:bCs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Table </w:t>
      </w:r>
      <w:r w:rsidR="007A4A23">
        <w:rPr>
          <w:rFonts w:ascii="Arial" w:eastAsia="Calibri" w:hAnsi="Arial" w:cs="Arial"/>
          <w:b/>
          <w:bCs/>
          <w:sz w:val="20"/>
          <w:szCs w:val="20"/>
        </w:rPr>
        <w:t>9</w:t>
      </w: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 – Supervisor Unique Situation Charging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580"/>
        <w:gridCol w:w="4320"/>
      </w:tblGrid>
      <w:tr w:rsidR="006357CC" w:rsidRPr="00C66B13" w14:paraId="6AD19B8E" w14:textId="77777777" w:rsidTr="00C66B13">
        <w:trPr>
          <w:trHeight w:val="317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AD19B8C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AD19B8D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Guideline:</w:t>
            </w:r>
          </w:p>
        </w:tc>
      </w:tr>
      <w:tr w:rsidR="006357CC" w:rsidRPr="001B2D50" w14:paraId="6AD19B91" w14:textId="77777777" w:rsidTr="00C66B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8F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EOC duties for a storm due to a request to report to the EOC or REC.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90" w14:textId="5018F44C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Storm order number associated with that storm</w:t>
            </w:r>
            <w:r w:rsidR="003F6C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57CC" w:rsidRPr="001B2D50" w14:paraId="6AD19B94" w14:textId="77777777" w:rsidTr="00C66B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92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a community event that none of your employees attend.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93" w14:textId="6860EF88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Community Events order number</w:t>
            </w:r>
            <w:r w:rsidR="003F6C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57CC" w:rsidRPr="001B2D50" w14:paraId="6AD19B97" w14:textId="77777777" w:rsidTr="00C66B1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95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brought in to work on a special project or issue with a special order number (BI, CI or ES&amp;S) that wouldn’t be appropriately distributed in the right ratio amongst your employees.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9B96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that order number.</w:t>
            </w:r>
          </w:p>
        </w:tc>
      </w:tr>
    </w:tbl>
    <w:p w14:paraId="6AD19B98" w14:textId="77777777" w:rsidR="006357CC" w:rsidRPr="00690B1B" w:rsidRDefault="006357CC" w:rsidP="006357CC">
      <w:pPr>
        <w:rPr>
          <w:rFonts w:ascii="Arial" w:hAnsi="Arial" w:cs="Arial"/>
          <w:sz w:val="18"/>
          <w:szCs w:val="20"/>
        </w:rPr>
      </w:pPr>
    </w:p>
    <w:p w14:paraId="6AD19B99" w14:textId="77777777" w:rsidR="006357CC" w:rsidRPr="00690B1B" w:rsidRDefault="006357CC" w:rsidP="006357CC">
      <w:pPr>
        <w:rPr>
          <w:rFonts w:ascii="Arial" w:hAnsi="Arial" w:cs="Arial"/>
          <w:sz w:val="16"/>
          <w:szCs w:val="20"/>
        </w:rPr>
      </w:pPr>
    </w:p>
    <w:p w14:paraId="6AD19B9A" w14:textId="5F6C0CDA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  <w:r w:rsidRPr="00690B1B">
        <w:rPr>
          <w:rFonts w:ascii="Arial" w:hAnsi="Arial" w:cs="Arial"/>
          <w:b/>
          <w:sz w:val="22"/>
          <w:szCs w:val="20"/>
        </w:rPr>
        <w:t>DLT MANAGERS:</w:t>
      </w:r>
      <w:r w:rsidRPr="00690B1B">
        <w:rPr>
          <w:rFonts w:ascii="Arial" w:hAnsi="Arial" w:cs="Arial"/>
          <w:sz w:val="22"/>
          <w:szCs w:val="20"/>
        </w:rPr>
        <w:t xml:space="preserve"> </w:t>
      </w:r>
      <w:r w:rsidRPr="001B2D50">
        <w:rPr>
          <w:rFonts w:ascii="Arial" w:hAnsi="Arial" w:cs="Arial"/>
          <w:sz w:val="20"/>
          <w:szCs w:val="20"/>
        </w:rPr>
        <w:t>All DLT Manager time should also be charged to the PCC (Hours Worked) or other standard exceptions (Sick, Holiday, etc.)</w:t>
      </w:r>
      <w:r w:rsidR="00FF3796">
        <w:rPr>
          <w:rFonts w:ascii="Arial" w:hAnsi="Arial" w:cs="Arial"/>
          <w:sz w:val="20"/>
          <w:szCs w:val="20"/>
        </w:rPr>
        <w:t xml:space="preserve"> for the same reason</w:t>
      </w:r>
      <w:r w:rsidR="009977CB">
        <w:rPr>
          <w:rFonts w:ascii="Arial" w:hAnsi="Arial" w:cs="Arial"/>
          <w:sz w:val="20"/>
          <w:szCs w:val="20"/>
        </w:rPr>
        <w:t>s listed above for supervisors</w:t>
      </w:r>
      <w:r w:rsidRPr="001B2D50">
        <w:rPr>
          <w:rFonts w:ascii="Arial" w:hAnsi="Arial" w:cs="Arial"/>
          <w:sz w:val="20"/>
          <w:szCs w:val="20"/>
        </w:rPr>
        <w:t>. The following additional exceptions should be used as well:</w:t>
      </w:r>
    </w:p>
    <w:p w14:paraId="6AD19B9B" w14:textId="77777777" w:rsidR="006357CC" w:rsidRPr="001B2D50" w:rsidRDefault="006357CC" w:rsidP="006357CC">
      <w:pPr>
        <w:rPr>
          <w:rFonts w:ascii="Arial" w:hAnsi="Arial" w:cs="Arial"/>
          <w:sz w:val="20"/>
          <w:szCs w:val="20"/>
        </w:rPr>
      </w:pPr>
    </w:p>
    <w:p w14:paraId="6AD19B9C" w14:textId="5B37EE73" w:rsidR="006357CC" w:rsidRPr="001B2D50" w:rsidRDefault="006357CC" w:rsidP="006357CC">
      <w:pPr>
        <w:rPr>
          <w:rFonts w:ascii="Arial" w:eastAsia="Calibri" w:hAnsi="Arial" w:cs="Arial"/>
          <w:b/>
          <w:bCs/>
          <w:sz w:val="20"/>
          <w:szCs w:val="20"/>
        </w:rPr>
      </w:pP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Table </w:t>
      </w:r>
      <w:r w:rsidR="007A4A23">
        <w:rPr>
          <w:rFonts w:ascii="Arial" w:eastAsia="Calibri" w:hAnsi="Arial" w:cs="Arial"/>
          <w:b/>
          <w:bCs/>
          <w:sz w:val="20"/>
          <w:szCs w:val="20"/>
        </w:rPr>
        <w:t>10</w:t>
      </w:r>
      <w:r w:rsidRPr="001B2D50">
        <w:rPr>
          <w:rFonts w:ascii="Arial" w:eastAsia="Calibri" w:hAnsi="Arial" w:cs="Arial"/>
          <w:b/>
          <w:bCs/>
          <w:sz w:val="20"/>
          <w:szCs w:val="20"/>
        </w:rPr>
        <w:t xml:space="preserve"> – DLT Manager Unique Situation Charging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5580"/>
        <w:gridCol w:w="4320"/>
      </w:tblGrid>
      <w:tr w:rsidR="006357CC" w:rsidRPr="00C66B13" w14:paraId="6AD19BA0" w14:textId="77777777" w:rsidTr="00C66B13">
        <w:trPr>
          <w:trHeight w:val="317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8DB3E2"/>
          </w:tcPr>
          <w:p w14:paraId="6AD19B9E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8DB3E2"/>
          </w:tcPr>
          <w:p w14:paraId="6AD19B9F" w14:textId="77777777" w:rsidR="006357CC" w:rsidRPr="00C66B13" w:rsidRDefault="006357CC" w:rsidP="00C66B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6B13">
              <w:rPr>
                <w:rFonts w:ascii="Arial" w:hAnsi="Arial" w:cs="Arial"/>
                <w:b/>
                <w:sz w:val="20"/>
                <w:szCs w:val="20"/>
              </w:rPr>
              <w:t>Guideline:</w:t>
            </w:r>
          </w:p>
        </w:tc>
      </w:tr>
      <w:tr w:rsidR="006357CC" w:rsidRPr="001B2D50" w14:paraId="6AD19BA3" w14:textId="77777777" w:rsidTr="00C66B13">
        <w:tc>
          <w:tcPr>
            <w:tcW w:w="5580" w:type="dxa"/>
            <w:shd w:val="clear" w:color="auto" w:fill="auto"/>
            <w:vAlign w:val="center"/>
          </w:tcPr>
          <w:p w14:paraId="6AD19BA1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working on DLT issues (prep, attendance, follow-up)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D19BA2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DLT order number</w:t>
            </w:r>
          </w:p>
        </w:tc>
      </w:tr>
      <w:tr w:rsidR="006357CC" w:rsidRPr="001B2D50" w14:paraId="6AD19BA6" w14:textId="77777777" w:rsidTr="00C66B13">
        <w:tc>
          <w:tcPr>
            <w:tcW w:w="5580" w:type="dxa"/>
            <w:shd w:val="clear" w:color="auto" w:fill="auto"/>
            <w:vAlign w:val="center"/>
          </w:tcPr>
          <w:p w14:paraId="6AD19BA4" w14:textId="149EA441" w:rsidR="006357CC" w:rsidRPr="001B2D50" w:rsidRDefault="006357CC" w:rsidP="005E77BA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 xml:space="preserve">You work </w:t>
            </w:r>
            <w:r w:rsidR="005E77BA">
              <w:rPr>
                <w:rFonts w:ascii="Arial" w:hAnsi="Arial" w:cs="Arial"/>
                <w:sz w:val="20"/>
                <w:szCs w:val="20"/>
              </w:rPr>
              <w:t xml:space="preserve">on a storm at the office or have </w:t>
            </w:r>
            <w:r w:rsidRPr="001B2D50">
              <w:rPr>
                <w:rFonts w:ascii="Arial" w:hAnsi="Arial" w:cs="Arial"/>
                <w:sz w:val="20"/>
                <w:szCs w:val="20"/>
              </w:rPr>
              <w:t>EOC duties for a storm due to a request to report to the EOC or REC.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D19BA5" w14:textId="1A950E57" w:rsidR="006357CC" w:rsidRPr="001B2D50" w:rsidRDefault="006357CC" w:rsidP="00D40248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 xml:space="preserve">Charge to </w:t>
            </w:r>
            <w:r w:rsidR="00D40248">
              <w:rPr>
                <w:rFonts w:ascii="Arial" w:hAnsi="Arial" w:cs="Arial"/>
                <w:sz w:val="20"/>
                <w:szCs w:val="20"/>
              </w:rPr>
              <w:t>your division’s Reliability o</w:t>
            </w:r>
            <w:r w:rsidRPr="001B2D50">
              <w:rPr>
                <w:rFonts w:ascii="Arial" w:hAnsi="Arial" w:cs="Arial"/>
                <w:sz w:val="20"/>
                <w:szCs w:val="20"/>
              </w:rPr>
              <w:t>rder number</w:t>
            </w:r>
            <w:r w:rsidR="00D402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357CC" w:rsidRPr="001B2D50" w14:paraId="6AD19BA9" w14:textId="77777777" w:rsidTr="00C66B13">
        <w:tc>
          <w:tcPr>
            <w:tcW w:w="5580" w:type="dxa"/>
            <w:shd w:val="clear" w:color="auto" w:fill="auto"/>
            <w:vAlign w:val="center"/>
          </w:tcPr>
          <w:p w14:paraId="6AD19BA7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work a community event that none of your employees attend.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D19BA8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the Community Events order number</w:t>
            </w:r>
          </w:p>
        </w:tc>
      </w:tr>
      <w:tr w:rsidR="006357CC" w:rsidRPr="001B2D50" w14:paraId="6AD19BAC" w14:textId="77777777" w:rsidTr="00C66B13">
        <w:tc>
          <w:tcPr>
            <w:tcW w:w="5580" w:type="dxa"/>
            <w:shd w:val="clear" w:color="auto" w:fill="auto"/>
            <w:vAlign w:val="center"/>
          </w:tcPr>
          <w:p w14:paraId="6AD19BAA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You are brought in to work on a special project or issue with a special order number (BI, CI or ES&amp;S) that wouldn’t be appropriately distributed in the right ratio amongst your employees.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D19BAB" w14:textId="77777777" w:rsidR="006357CC" w:rsidRPr="001B2D50" w:rsidRDefault="006357CC" w:rsidP="00C66B13">
            <w:pPr>
              <w:rPr>
                <w:rFonts w:ascii="Arial" w:hAnsi="Arial" w:cs="Arial"/>
                <w:sz w:val="20"/>
                <w:szCs w:val="20"/>
              </w:rPr>
            </w:pPr>
            <w:r w:rsidRPr="001B2D50">
              <w:rPr>
                <w:rFonts w:ascii="Arial" w:hAnsi="Arial" w:cs="Arial"/>
                <w:sz w:val="20"/>
                <w:szCs w:val="20"/>
              </w:rPr>
              <w:t>Charge to that order number.</w:t>
            </w:r>
          </w:p>
        </w:tc>
      </w:tr>
    </w:tbl>
    <w:p w14:paraId="6AD19BAD" w14:textId="77777777" w:rsidR="006357CC" w:rsidRPr="00690B1B" w:rsidRDefault="006357CC" w:rsidP="006357CC">
      <w:pPr>
        <w:rPr>
          <w:rFonts w:ascii="Arial" w:hAnsi="Arial" w:cs="Arial"/>
          <w:sz w:val="18"/>
          <w:szCs w:val="20"/>
        </w:rPr>
      </w:pPr>
    </w:p>
    <w:p w14:paraId="6AD19BB0" w14:textId="3D25608B" w:rsidR="006357CC" w:rsidRPr="0001458B" w:rsidRDefault="006357CC" w:rsidP="00832ECC">
      <w:pPr>
        <w:rPr>
          <w:rFonts w:ascii="Calibri" w:hAnsi="Calibri"/>
          <w:sz w:val="22"/>
          <w:szCs w:val="22"/>
        </w:rPr>
      </w:pPr>
      <w:r w:rsidRPr="00690B1B">
        <w:rPr>
          <w:rFonts w:ascii="Arial" w:hAnsi="Arial" w:cs="Arial"/>
          <w:b/>
          <w:sz w:val="22"/>
          <w:szCs w:val="20"/>
        </w:rPr>
        <w:t>DIRECTORS</w:t>
      </w:r>
      <w:r w:rsidRPr="001B2D50">
        <w:rPr>
          <w:rFonts w:ascii="Arial" w:hAnsi="Arial" w:cs="Arial"/>
          <w:b/>
          <w:sz w:val="20"/>
          <w:szCs w:val="20"/>
        </w:rPr>
        <w:t>:</w:t>
      </w:r>
      <w:r w:rsidRPr="001B2D50">
        <w:rPr>
          <w:rFonts w:ascii="Arial" w:hAnsi="Arial" w:cs="Arial"/>
          <w:sz w:val="20"/>
          <w:szCs w:val="20"/>
        </w:rPr>
        <w:t xml:space="preserve"> All time should be charged to the PCC (Hours Worked) or other exceptions (Sick, Holiday, etc.)</w:t>
      </w:r>
    </w:p>
    <w:sectPr w:rsidR="006357CC" w:rsidRPr="0001458B" w:rsidSect="00431F32">
      <w:pgSz w:w="12240" w:h="15840"/>
      <w:pgMar w:top="578" w:right="1152" w:bottom="1152" w:left="1152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AF5BE" w14:textId="77777777" w:rsidR="00124C83" w:rsidRDefault="00124C83" w:rsidP="00D20587">
      <w:r>
        <w:separator/>
      </w:r>
    </w:p>
    <w:p w14:paraId="71F272CE" w14:textId="77777777" w:rsidR="00124C83" w:rsidRDefault="00124C83"/>
    <w:p w14:paraId="7D2B418B" w14:textId="77777777" w:rsidR="00124C83" w:rsidRDefault="00124C83" w:rsidP="00797EE0"/>
  </w:endnote>
  <w:endnote w:type="continuationSeparator" w:id="0">
    <w:p w14:paraId="2EB4CA9B" w14:textId="77777777" w:rsidR="00124C83" w:rsidRDefault="00124C83" w:rsidP="00D20587">
      <w:r>
        <w:continuationSeparator/>
      </w:r>
    </w:p>
    <w:p w14:paraId="68CD6E5A" w14:textId="77777777" w:rsidR="00124C83" w:rsidRDefault="00124C83"/>
    <w:p w14:paraId="2C0F6EEE" w14:textId="77777777" w:rsidR="00124C83" w:rsidRDefault="00124C83" w:rsidP="00797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9BCC" w14:textId="7F4E2948" w:rsidR="00431F32" w:rsidRPr="00436DC3" w:rsidRDefault="00431F32" w:rsidP="00436DC3">
    <w:pPr>
      <w:pBdr>
        <w:top w:val="single" w:sz="4" w:space="1" w:color="7F7F7F"/>
      </w:pBdr>
      <w:tabs>
        <w:tab w:val="center" w:pos="4680"/>
        <w:tab w:val="right" w:pos="9360"/>
      </w:tabs>
      <w:spacing w:before="240"/>
      <w:rPr>
        <w:rFonts w:ascii="Arial Narrow" w:hAnsi="Arial Narrow"/>
        <w:color w:val="000000"/>
        <w:sz w:val="18"/>
        <w:szCs w:val="22"/>
      </w:rPr>
    </w:pPr>
    <w:r w:rsidRPr="00436DC3">
      <w:rPr>
        <w:rFonts w:ascii="Arial Narrow" w:hAnsi="Arial Narrow"/>
        <w:color w:val="000000"/>
        <w:sz w:val="18"/>
        <w:szCs w:val="22"/>
      </w:rPr>
      <w:tab/>
    </w:r>
    <w:r w:rsidRPr="00436DC3">
      <w:rPr>
        <w:rFonts w:ascii="Arial Narrow" w:hAnsi="Arial Narrow"/>
        <w:color w:val="000000"/>
        <w:sz w:val="18"/>
        <w:szCs w:val="22"/>
      </w:rPr>
      <w:fldChar w:fldCharType="begin"/>
    </w:r>
    <w:r w:rsidRPr="00436DC3">
      <w:rPr>
        <w:rFonts w:ascii="Arial Narrow" w:hAnsi="Arial Narrow"/>
        <w:color w:val="000000"/>
        <w:sz w:val="18"/>
        <w:szCs w:val="22"/>
      </w:rPr>
      <w:instrText xml:space="preserve"> PAGE   \* MERGEFORMAT </w:instrText>
    </w:r>
    <w:r w:rsidRPr="00436DC3">
      <w:rPr>
        <w:rFonts w:ascii="Arial Narrow" w:hAnsi="Arial Narrow"/>
        <w:color w:val="000000"/>
        <w:sz w:val="18"/>
        <w:szCs w:val="22"/>
      </w:rPr>
      <w:fldChar w:fldCharType="separate"/>
    </w:r>
    <w:r w:rsidR="00293328">
      <w:rPr>
        <w:rFonts w:ascii="Arial Narrow" w:hAnsi="Arial Narrow"/>
        <w:noProof/>
        <w:color w:val="000000"/>
        <w:sz w:val="18"/>
        <w:szCs w:val="22"/>
      </w:rPr>
      <w:t>i</w:t>
    </w:r>
    <w:r w:rsidRPr="00436DC3">
      <w:rPr>
        <w:rFonts w:ascii="Arial Narrow" w:hAnsi="Arial Narrow"/>
        <w:noProof/>
        <w:color w:val="000000"/>
        <w:sz w:val="18"/>
        <w:szCs w:val="22"/>
      </w:rPr>
      <w:fldChar w:fldCharType="end"/>
    </w:r>
    <w:r w:rsidRPr="00436DC3">
      <w:rPr>
        <w:rFonts w:ascii="Arial Narrow" w:hAnsi="Arial Narrow"/>
        <w:color w:val="000000"/>
        <w:sz w:val="18"/>
        <w:szCs w:val="22"/>
      </w:rPr>
      <w:tab/>
      <w:t xml:space="preserve">Date: </w:t>
    </w:r>
    <w:r w:rsidR="00A37B46">
      <w:rPr>
        <w:rFonts w:ascii="Arial Narrow" w:hAnsi="Arial Narrow"/>
        <w:color w:val="000000"/>
        <w:sz w:val="18"/>
        <w:szCs w:val="22"/>
      </w:rPr>
      <w:t>January</w:t>
    </w:r>
    <w:r>
      <w:rPr>
        <w:rFonts w:ascii="Arial Narrow" w:hAnsi="Arial Narrow"/>
        <w:color w:val="000000"/>
        <w:sz w:val="18"/>
        <w:szCs w:val="22"/>
      </w:rPr>
      <w:t xml:space="preserve"> </w:t>
    </w:r>
    <w:r w:rsidR="00A37B46">
      <w:rPr>
        <w:rFonts w:ascii="Arial Narrow" w:hAnsi="Arial Narrow"/>
        <w:color w:val="000000"/>
        <w:sz w:val="18"/>
        <w:szCs w:val="22"/>
      </w:rPr>
      <w:t>5</w:t>
    </w:r>
    <w:r>
      <w:rPr>
        <w:rFonts w:ascii="Arial Narrow" w:hAnsi="Arial Narrow"/>
        <w:color w:val="000000"/>
        <w:sz w:val="18"/>
        <w:szCs w:val="22"/>
      </w:rPr>
      <w:t>, 201</w:t>
    </w:r>
    <w:r w:rsidR="00A37B46">
      <w:rPr>
        <w:rFonts w:ascii="Arial Narrow" w:hAnsi="Arial Narrow"/>
        <w:color w:val="000000"/>
        <w:sz w:val="18"/>
        <w:szCs w:val="22"/>
      </w:rPr>
      <w:t>5</w:t>
    </w:r>
  </w:p>
  <w:p w14:paraId="6AD19BCD" w14:textId="77777777" w:rsidR="00431F32" w:rsidRPr="00436DC3" w:rsidRDefault="00431F32" w:rsidP="00436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1EAB4" w14:textId="77777777" w:rsidR="00124C83" w:rsidRDefault="00124C83" w:rsidP="00D20587">
      <w:r>
        <w:separator/>
      </w:r>
    </w:p>
    <w:p w14:paraId="37160183" w14:textId="77777777" w:rsidR="00124C83" w:rsidRDefault="00124C83"/>
    <w:p w14:paraId="6244DDAC" w14:textId="77777777" w:rsidR="00124C83" w:rsidRDefault="00124C83" w:rsidP="00797EE0"/>
  </w:footnote>
  <w:footnote w:type="continuationSeparator" w:id="0">
    <w:p w14:paraId="18FEA597" w14:textId="77777777" w:rsidR="00124C83" w:rsidRDefault="00124C83" w:rsidP="00D20587">
      <w:r>
        <w:continuationSeparator/>
      </w:r>
    </w:p>
    <w:p w14:paraId="7C2353F0" w14:textId="77777777" w:rsidR="00124C83" w:rsidRDefault="00124C83"/>
    <w:p w14:paraId="72582654" w14:textId="77777777" w:rsidR="00124C83" w:rsidRDefault="00124C83" w:rsidP="00797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19BCB" w14:textId="77777777" w:rsidR="00431F32" w:rsidRPr="00436DC3" w:rsidRDefault="00431F32" w:rsidP="00436DC3">
    <w:pPr>
      <w:pBdr>
        <w:bottom w:val="single" w:sz="4" w:space="1" w:color="7F7F7F"/>
      </w:pBdr>
      <w:tabs>
        <w:tab w:val="center" w:pos="4680"/>
        <w:tab w:val="right" w:pos="9450"/>
      </w:tabs>
      <w:spacing w:after="720"/>
      <w:rPr>
        <w:rFonts w:ascii="Arial Narrow" w:hAnsi="Arial Narrow"/>
        <w:b/>
        <w:color w:val="000000"/>
        <w:sz w:val="20"/>
        <w:szCs w:val="22"/>
      </w:rPr>
    </w:pP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color w:val="000000"/>
        <w:sz w:val="20"/>
        <w:szCs w:val="22"/>
      </w:rPr>
      <w:tab/>
    </w:r>
    <w:r w:rsidRPr="00436DC3">
      <w:rPr>
        <w:rFonts w:ascii="Arial Narrow" w:hAnsi="Arial Narrow"/>
        <w:b/>
        <w:noProof/>
        <w:color w:val="000000"/>
        <w:sz w:val="20"/>
        <w:szCs w:val="22"/>
      </w:rPr>
      <w:drawing>
        <wp:inline distT="0" distB="0" distL="0" distR="0" wp14:anchorId="6AD19BCE" wp14:editId="6AD19BCF">
          <wp:extent cx="447675" cy="485775"/>
          <wp:effectExtent l="0" t="0" r="9525" b="9525"/>
          <wp:docPr id="10" name="Picture 10" descr="Description: BWpge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Wpge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54C"/>
    <w:multiLevelType w:val="hybridMultilevel"/>
    <w:tmpl w:val="C61832A6"/>
    <w:lvl w:ilvl="0" w:tplc="7D72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E6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6F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E1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8F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08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78170F"/>
    <w:multiLevelType w:val="hybridMultilevel"/>
    <w:tmpl w:val="B416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6335"/>
    <w:multiLevelType w:val="hybridMultilevel"/>
    <w:tmpl w:val="4ECAEAFE"/>
    <w:lvl w:ilvl="0" w:tplc="4F861D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10"/>
    <w:rsid w:val="0001458B"/>
    <w:rsid w:val="00037F0A"/>
    <w:rsid w:val="0005480D"/>
    <w:rsid w:val="00063E0A"/>
    <w:rsid w:val="0006680C"/>
    <w:rsid w:val="000A1110"/>
    <w:rsid w:val="000B0832"/>
    <w:rsid w:val="000C7EC5"/>
    <w:rsid w:val="000D682E"/>
    <w:rsid w:val="00101169"/>
    <w:rsid w:val="00110872"/>
    <w:rsid w:val="00124C83"/>
    <w:rsid w:val="00126256"/>
    <w:rsid w:val="00134513"/>
    <w:rsid w:val="00135C06"/>
    <w:rsid w:val="001370C1"/>
    <w:rsid w:val="00154FCE"/>
    <w:rsid w:val="00182153"/>
    <w:rsid w:val="001862A2"/>
    <w:rsid w:val="00195332"/>
    <w:rsid w:val="001B2D50"/>
    <w:rsid w:val="001B71DE"/>
    <w:rsid w:val="001C0590"/>
    <w:rsid w:val="001D3A18"/>
    <w:rsid w:val="001F3FD6"/>
    <w:rsid w:val="001F65C8"/>
    <w:rsid w:val="002224FF"/>
    <w:rsid w:val="00244A39"/>
    <w:rsid w:val="0025199C"/>
    <w:rsid w:val="00256787"/>
    <w:rsid w:val="00260942"/>
    <w:rsid w:val="0028155D"/>
    <w:rsid w:val="00287B31"/>
    <w:rsid w:val="00293328"/>
    <w:rsid w:val="002A345D"/>
    <w:rsid w:val="002B3108"/>
    <w:rsid w:val="002F0829"/>
    <w:rsid w:val="002F65F1"/>
    <w:rsid w:val="00312B64"/>
    <w:rsid w:val="00327517"/>
    <w:rsid w:val="00345015"/>
    <w:rsid w:val="00380B74"/>
    <w:rsid w:val="003839C3"/>
    <w:rsid w:val="0038787C"/>
    <w:rsid w:val="0039689B"/>
    <w:rsid w:val="003C7520"/>
    <w:rsid w:val="003D2D88"/>
    <w:rsid w:val="003D3B13"/>
    <w:rsid w:val="003E6B6E"/>
    <w:rsid w:val="003E760A"/>
    <w:rsid w:val="003E7720"/>
    <w:rsid w:val="003E7BA4"/>
    <w:rsid w:val="003F6C95"/>
    <w:rsid w:val="00431F32"/>
    <w:rsid w:val="00436DC3"/>
    <w:rsid w:val="004545EB"/>
    <w:rsid w:val="004660AD"/>
    <w:rsid w:val="00475E61"/>
    <w:rsid w:val="004A2568"/>
    <w:rsid w:val="004A7024"/>
    <w:rsid w:val="004B0CCE"/>
    <w:rsid w:val="004B2DF6"/>
    <w:rsid w:val="004D0370"/>
    <w:rsid w:val="004D0BDB"/>
    <w:rsid w:val="004D6D8D"/>
    <w:rsid w:val="004E080C"/>
    <w:rsid w:val="004E1E6B"/>
    <w:rsid w:val="004E7516"/>
    <w:rsid w:val="00511DB0"/>
    <w:rsid w:val="0051515E"/>
    <w:rsid w:val="00521CF9"/>
    <w:rsid w:val="00540AC3"/>
    <w:rsid w:val="00557DBF"/>
    <w:rsid w:val="00565B85"/>
    <w:rsid w:val="005723EA"/>
    <w:rsid w:val="005819DB"/>
    <w:rsid w:val="0059074A"/>
    <w:rsid w:val="00596417"/>
    <w:rsid w:val="005C6458"/>
    <w:rsid w:val="005E5D32"/>
    <w:rsid w:val="005E77BA"/>
    <w:rsid w:val="005F2E36"/>
    <w:rsid w:val="005F548D"/>
    <w:rsid w:val="00600575"/>
    <w:rsid w:val="0060470C"/>
    <w:rsid w:val="00606BAE"/>
    <w:rsid w:val="00606EC2"/>
    <w:rsid w:val="0062176E"/>
    <w:rsid w:val="00622389"/>
    <w:rsid w:val="006357CC"/>
    <w:rsid w:val="0066420E"/>
    <w:rsid w:val="00681DAE"/>
    <w:rsid w:val="00690B1B"/>
    <w:rsid w:val="006942F8"/>
    <w:rsid w:val="006A6431"/>
    <w:rsid w:val="006B4F4C"/>
    <w:rsid w:val="006C2450"/>
    <w:rsid w:val="006D7DFC"/>
    <w:rsid w:val="0073294C"/>
    <w:rsid w:val="00734618"/>
    <w:rsid w:val="00750AF6"/>
    <w:rsid w:val="007540CC"/>
    <w:rsid w:val="00770188"/>
    <w:rsid w:val="00773E3A"/>
    <w:rsid w:val="00796BCF"/>
    <w:rsid w:val="00797EE0"/>
    <w:rsid w:val="007A3B1F"/>
    <w:rsid w:val="007A4A23"/>
    <w:rsid w:val="007C4632"/>
    <w:rsid w:val="007C58F5"/>
    <w:rsid w:val="007C7032"/>
    <w:rsid w:val="007F0F13"/>
    <w:rsid w:val="00804630"/>
    <w:rsid w:val="008103E2"/>
    <w:rsid w:val="00832ECC"/>
    <w:rsid w:val="0088759F"/>
    <w:rsid w:val="00896600"/>
    <w:rsid w:val="008C0066"/>
    <w:rsid w:val="008C4705"/>
    <w:rsid w:val="008C5A24"/>
    <w:rsid w:val="008C68A8"/>
    <w:rsid w:val="008C7CC6"/>
    <w:rsid w:val="008D249C"/>
    <w:rsid w:val="008E5597"/>
    <w:rsid w:val="0090118C"/>
    <w:rsid w:val="00901B86"/>
    <w:rsid w:val="00902881"/>
    <w:rsid w:val="009245C8"/>
    <w:rsid w:val="009251FE"/>
    <w:rsid w:val="00935951"/>
    <w:rsid w:val="00944C77"/>
    <w:rsid w:val="009577A4"/>
    <w:rsid w:val="0096106F"/>
    <w:rsid w:val="0096191C"/>
    <w:rsid w:val="00973DA7"/>
    <w:rsid w:val="00991E1F"/>
    <w:rsid w:val="00994B98"/>
    <w:rsid w:val="009977CB"/>
    <w:rsid w:val="009C3859"/>
    <w:rsid w:val="009E237B"/>
    <w:rsid w:val="009E26A9"/>
    <w:rsid w:val="009F4F58"/>
    <w:rsid w:val="00A00CBD"/>
    <w:rsid w:val="00A36510"/>
    <w:rsid w:val="00A37B46"/>
    <w:rsid w:val="00A54D3F"/>
    <w:rsid w:val="00A57152"/>
    <w:rsid w:val="00A57E5F"/>
    <w:rsid w:val="00A70873"/>
    <w:rsid w:val="00A75401"/>
    <w:rsid w:val="00AA4169"/>
    <w:rsid w:val="00AB012F"/>
    <w:rsid w:val="00AC5B71"/>
    <w:rsid w:val="00B43AF2"/>
    <w:rsid w:val="00B73605"/>
    <w:rsid w:val="00B7658D"/>
    <w:rsid w:val="00B77D23"/>
    <w:rsid w:val="00B77DCA"/>
    <w:rsid w:val="00B83752"/>
    <w:rsid w:val="00B9288C"/>
    <w:rsid w:val="00BB74D1"/>
    <w:rsid w:val="00BC295B"/>
    <w:rsid w:val="00BC63AF"/>
    <w:rsid w:val="00BD1638"/>
    <w:rsid w:val="00BE28D6"/>
    <w:rsid w:val="00C03ACA"/>
    <w:rsid w:val="00C068B9"/>
    <w:rsid w:val="00C13C67"/>
    <w:rsid w:val="00C157A1"/>
    <w:rsid w:val="00C4198A"/>
    <w:rsid w:val="00C452D3"/>
    <w:rsid w:val="00C61445"/>
    <w:rsid w:val="00C640B6"/>
    <w:rsid w:val="00C66B13"/>
    <w:rsid w:val="00C7134C"/>
    <w:rsid w:val="00C7336B"/>
    <w:rsid w:val="00CA2EFA"/>
    <w:rsid w:val="00CB1CD0"/>
    <w:rsid w:val="00CC63F0"/>
    <w:rsid w:val="00CD2A88"/>
    <w:rsid w:val="00CE6F26"/>
    <w:rsid w:val="00D069AD"/>
    <w:rsid w:val="00D072A4"/>
    <w:rsid w:val="00D20587"/>
    <w:rsid w:val="00D226C4"/>
    <w:rsid w:val="00D35047"/>
    <w:rsid w:val="00D40248"/>
    <w:rsid w:val="00D6459B"/>
    <w:rsid w:val="00D7622A"/>
    <w:rsid w:val="00D81894"/>
    <w:rsid w:val="00D822FF"/>
    <w:rsid w:val="00DA5052"/>
    <w:rsid w:val="00DD782A"/>
    <w:rsid w:val="00DF08B2"/>
    <w:rsid w:val="00E117CE"/>
    <w:rsid w:val="00E1455B"/>
    <w:rsid w:val="00E16378"/>
    <w:rsid w:val="00E308AE"/>
    <w:rsid w:val="00E46FAA"/>
    <w:rsid w:val="00E831DE"/>
    <w:rsid w:val="00E96606"/>
    <w:rsid w:val="00EB699B"/>
    <w:rsid w:val="00EC0325"/>
    <w:rsid w:val="00EC5141"/>
    <w:rsid w:val="00EE3411"/>
    <w:rsid w:val="00F1412D"/>
    <w:rsid w:val="00F61281"/>
    <w:rsid w:val="00F74405"/>
    <w:rsid w:val="00F76B8C"/>
    <w:rsid w:val="00F80FA5"/>
    <w:rsid w:val="00F822B7"/>
    <w:rsid w:val="00FB1FCD"/>
    <w:rsid w:val="00FC0D73"/>
    <w:rsid w:val="00FC4A3C"/>
    <w:rsid w:val="00FF3796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1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7C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05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205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205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587"/>
    <w:rPr>
      <w:sz w:val="24"/>
      <w:szCs w:val="24"/>
    </w:rPr>
  </w:style>
  <w:style w:type="paragraph" w:styleId="BalloonText">
    <w:name w:val="Balloon Text"/>
    <w:basedOn w:val="Normal"/>
    <w:link w:val="BalloonTextChar"/>
    <w:rsid w:val="00B76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65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21CF9"/>
    <w:pPr>
      <w:spacing w:after="180" w:line="276" w:lineRule="auto"/>
      <w:ind w:left="720"/>
      <w:contextualSpacing/>
    </w:pPr>
    <w:rPr>
      <w:rFonts w:ascii="Arial" w:hAnsi="Arial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1CF9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C7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60470C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26A9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9E26A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E2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2550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3">
                              <w:marLeft w:val="300"/>
                              <w:marRight w:val="15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36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9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cid:image003.jpg@01CFFE8D.FC4F8F3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C45EF8E2FD446A6BF5F081E820FE8" ma:contentTypeVersion="0" ma:contentTypeDescription="Create a new document." ma:contentTypeScope="" ma:versionID="d6d1c370e9600e2df9487745f6a8ed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AC499-D92A-4DFE-8733-B646017C15A5}"/>
</file>

<file path=customXml/itemProps2.xml><?xml version="1.0" encoding="utf-8"?>
<ds:datastoreItem xmlns:ds="http://schemas.openxmlformats.org/officeDocument/2006/customXml" ds:itemID="{CA3104CA-57AD-44C3-A703-B6C7CE1B430C}"/>
</file>

<file path=customXml/itemProps3.xml><?xml version="1.0" encoding="utf-8"?>
<ds:datastoreItem xmlns:ds="http://schemas.openxmlformats.org/officeDocument/2006/customXml" ds:itemID="{F4D3F431-5907-4EC6-AB66-0620D56E032B}"/>
</file>

<file path=customXml/itemProps4.xml><?xml version="1.0" encoding="utf-8"?>
<ds:datastoreItem xmlns:ds="http://schemas.openxmlformats.org/officeDocument/2006/customXml" ds:itemID="{38A66298-70AC-4DFD-9477-0C56A04E08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Because we all love doing our timecards </vt:lpstr>
    </vt:vector>
  </TitlesOfParts>
  <Company>Pacific Gas and Electric Co.</Company>
  <LinksUpToDate>false</LinksUpToDate>
  <CharactersWithSpaces>17158</CharactersWithSpaces>
  <SharedDoc>false</SharedDoc>
  <HLinks>
    <vt:vector size="6" baseType="variant">
      <vt:variant>
        <vt:i4>2555979</vt:i4>
      </vt:variant>
      <vt:variant>
        <vt:i4>2881</vt:i4>
      </vt:variant>
      <vt:variant>
        <vt:i4>1025</vt:i4>
      </vt:variant>
      <vt:variant>
        <vt:i4>1</vt:i4>
      </vt:variant>
      <vt:variant>
        <vt:lpwstr>cid:image003.jpg@01CFFE8D.FC4F8F30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we all love doing our timecards </dc:title>
  <dc:creator>Ashley Matsu</dc:creator>
  <cp:lastModifiedBy>Mayer, Stephen</cp:lastModifiedBy>
  <cp:revision>2</cp:revision>
  <cp:lastPrinted>2014-12-12T22:09:00Z</cp:lastPrinted>
  <dcterms:created xsi:type="dcterms:W3CDTF">2017-06-13T17:54:00Z</dcterms:created>
  <dcterms:modified xsi:type="dcterms:W3CDTF">2017-06-13T17:54:00Z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0x0101006B2C45EF8E2FD446A6BF5F081E820FE8</vt:lpwstr>
  </property>
</Properties>
</file>