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2E6CC" w14:textId="77777777" w:rsidR="00055E35" w:rsidRPr="00863C8E" w:rsidRDefault="00C6632C" w:rsidP="00055E35">
      <w:bookmarkStart w:id="0" w:name="_GoBack"/>
      <w:bookmarkEnd w:id="0"/>
      <w:r>
        <w:t>December 24, 2013</w:t>
      </w:r>
    </w:p>
    <w:p w14:paraId="409CF48E" w14:textId="77777777" w:rsidR="00055E35" w:rsidRPr="00863C8E" w:rsidRDefault="00055E35" w:rsidP="00055E35"/>
    <w:p w14:paraId="605EBA42" w14:textId="77777777" w:rsidR="00055E35" w:rsidRPr="00863C8E" w:rsidRDefault="00055E35" w:rsidP="00055E35">
      <w:r w:rsidRPr="00863C8E">
        <w:t>Ms. Brenda Edwards</w:t>
      </w:r>
    </w:p>
    <w:p w14:paraId="2D1C6B8A" w14:textId="77777777" w:rsidR="00055E35" w:rsidRPr="00863C8E" w:rsidRDefault="00055E35" w:rsidP="00055E35">
      <w:smartTag w:uri="urn:schemas-microsoft-com:office:smarttags" w:element="country-region">
        <w:smartTag w:uri="urn:schemas-microsoft-com:office:smarttags" w:element="place">
          <w:r w:rsidRPr="00863C8E">
            <w:t>U.S.</w:t>
          </w:r>
        </w:smartTag>
      </w:smartTag>
      <w:r w:rsidRPr="00863C8E">
        <w:t xml:space="preserve"> Department of Energy</w:t>
      </w:r>
    </w:p>
    <w:p w14:paraId="365666BF" w14:textId="77777777" w:rsidR="00055E35" w:rsidRPr="00863C8E" w:rsidRDefault="00055E35" w:rsidP="00055E35">
      <w:r w:rsidRPr="00863C8E">
        <w:t>Building Technologies Program</w:t>
      </w:r>
    </w:p>
    <w:p w14:paraId="2BB09085" w14:textId="77777777" w:rsidR="00055E35" w:rsidRPr="00863C8E" w:rsidRDefault="00055E35" w:rsidP="00055E35">
      <w:smartTag w:uri="urn:schemas-microsoft-com:office:smarttags" w:element="Street">
        <w:smartTag w:uri="urn:schemas-microsoft-com:office:smarttags" w:element="address">
          <w:r w:rsidRPr="00863C8E">
            <w:t>1000 Independence Avenue, SW</w:t>
          </w:r>
        </w:smartTag>
      </w:smartTag>
    </w:p>
    <w:p w14:paraId="2FA4FDB5" w14:textId="77777777" w:rsidR="00055E35" w:rsidRPr="00863C8E" w:rsidRDefault="00055E35" w:rsidP="00055E35">
      <w:r w:rsidRPr="00863C8E">
        <w:t>Mailstop EE-2J</w:t>
      </w:r>
    </w:p>
    <w:p w14:paraId="67A5D5DA" w14:textId="77777777" w:rsidR="00055E35" w:rsidRDefault="00055E35" w:rsidP="00055E35">
      <w:smartTag w:uri="urn:schemas-microsoft-com:office:smarttags" w:element="City">
        <w:r w:rsidRPr="00863C8E">
          <w:t>Washington</w:t>
        </w:r>
      </w:smartTag>
      <w:r w:rsidRPr="00863C8E">
        <w:t xml:space="preserve">, </w:t>
      </w:r>
      <w:smartTag w:uri="urn:schemas-microsoft-com:office:smarttags" w:element="State">
        <w:r w:rsidRPr="00863C8E">
          <w:t>DC</w:t>
        </w:r>
      </w:smartTag>
      <w:r w:rsidRPr="00863C8E">
        <w:t xml:space="preserve"> 20585</w:t>
      </w:r>
    </w:p>
    <w:p w14:paraId="600A08E0" w14:textId="77777777" w:rsidR="00055E35" w:rsidRPr="00863C8E" w:rsidRDefault="00055E35" w:rsidP="00055E35"/>
    <w:p w14:paraId="7C035CCD" w14:textId="77777777" w:rsidR="00055E35" w:rsidRPr="00D76A6A" w:rsidRDefault="00055E35" w:rsidP="00055E35">
      <w:pPr>
        <w:ind w:left="720" w:right="288" w:hanging="720"/>
        <w:rPr>
          <w:rStyle w:val="Strong"/>
          <w:b w:val="0"/>
          <w:color w:val="000000"/>
        </w:rPr>
      </w:pPr>
      <w:r>
        <w:rPr>
          <w:b/>
        </w:rPr>
        <w:t>RE:</w:t>
      </w:r>
      <w:r>
        <w:rPr>
          <w:b/>
        </w:rPr>
        <w:tab/>
      </w:r>
      <w:r w:rsidRPr="00D76A6A">
        <w:rPr>
          <w:b/>
        </w:rPr>
        <w:t xml:space="preserve">Docket Number </w:t>
      </w:r>
      <w:r>
        <w:rPr>
          <w:rStyle w:val="Strong"/>
          <w:color w:val="000000"/>
        </w:rPr>
        <w:t>EERE-2010-BT-STD-0011</w:t>
      </w:r>
      <w:r w:rsidRPr="00D76A6A">
        <w:rPr>
          <w:rStyle w:val="Strong"/>
          <w:color w:val="000000"/>
        </w:rPr>
        <w:t xml:space="preserve"> </w:t>
      </w:r>
      <w:r w:rsidRPr="00D76A6A">
        <w:rPr>
          <w:b/>
          <w:color w:val="000000"/>
        </w:rPr>
        <w:t xml:space="preserve">/ RIN </w:t>
      </w:r>
      <w:r>
        <w:rPr>
          <w:rStyle w:val="Strong"/>
          <w:color w:val="000000"/>
        </w:rPr>
        <w:t>1904-AC22</w:t>
      </w:r>
      <w:r w:rsidRPr="00D76A6A">
        <w:rPr>
          <w:rStyle w:val="Strong"/>
          <w:color w:val="000000"/>
        </w:rPr>
        <w:t>:</w:t>
      </w:r>
      <w:r w:rsidRPr="00D76A6A">
        <w:rPr>
          <w:b/>
        </w:rPr>
        <w:t xml:space="preserve"> </w:t>
      </w:r>
      <w:r w:rsidR="00C6632C">
        <w:rPr>
          <w:b/>
        </w:rPr>
        <w:t>Notice of Proposed Rulemaking</w:t>
      </w:r>
      <w:r>
        <w:rPr>
          <w:b/>
        </w:rPr>
        <w:t xml:space="preserve"> for Furnace Fans</w:t>
      </w:r>
    </w:p>
    <w:p w14:paraId="280C261A" w14:textId="77777777" w:rsidR="00055E35" w:rsidRDefault="00055E35" w:rsidP="00055E35"/>
    <w:p w14:paraId="751E7036" w14:textId="77777777" w:rsidR="00055E35" w:rsidRPr="00863C8E" w:rsidRDefault="00055E35" w:rsidP="00055E35">
      <w:r>
        <w:t>D</w:t>
      </w:r>
      <w:r w:rsidR="005D3645">
        <w:t>ear Ms. Edwards:</w:t>
      </w:r>
    </w:p>
    <w:p w14:paraId="2BC3AD5F" w14:textId="77777777" w:rsidR="00055E35" w:rsidRPr="00863C8E" w:rsidRDefault="00055E35" w:rsidP="00055E35"/>
    <w:p w14:paraId="0CDEE2C4" w14:textId="77777777" w:rsidR="00055E35" w:rsidRDefault="00055E35" w:rsidP="00055E35">
      <w:r w:rsidRPr="00863C8E">
        <w:t>This letter constitutes the comments of the Appliance Standards Awareness Project (ASAP</w:t>
      </w:r>
      <w:r>
        <w:t>)</w:t>
      </w:r>
      <w:r w:rsidR="0099144E">
        <w:t xml:space="preserve"> </w:t>
      </w:r>
      <w:r w:rsidR="00C6632C" w:rsidRPr="00C6632C">
        <w:rPr>
          <w:highlight w:val="yellow"/>
        </w:rPr>
        <w:t>and</w:t>
      </w:r>
      <w:r w:rsidR="00C6632C">
        <w:t xml:space="preserve"> </w:t>
      </w:r>
      <w:r w:rsidRPr="00863C8E">
        <w:t xml:space="preserve">on the </w:t>
      </w:r>
      <w:r w:rsidR="00C6632C">
        <w:t>notice of proposed rulemaking</w:t>
      </w:r>
      <w:r w:rsidRPr="00863C8E">
        <w:t xml:space="preserve"> </w:t>
      </w:r>
      <w:r w:rsidR="00C6632C">
        <w:t>(NOPR</w:t>
      </w:r>
      <w:r>
        <w:t>) for furnace fans</w:t>
      </w:r>
      <w:r w:rsidRPr="00863C8E">
        <w:t xml:space="preserve">. </w:t>
      </w:r>
      <w:r w:rsidR="00C6632C">
        <w:t>78</w:t>
      </w:r>
      <w:r>
        <w:t xml:space="preserve"> Fed. Reg. </w:t>
      </w:r>
      <w:r w:rsidR="00C6632C">
        <w:t>64068</w:t>
      </w:r>
      <w:r>
        <w:t xml:space="preserve"> (</w:t>
      </w:r>
      <w:r w:rsidR="00C6632C">
        <w:t>October 25, 2013</w:t>
      </w:r>
      <w:r>
        <w:t>). We appreciate the opportunity to provide input to the Department.</w:t>
      </w:r>
    </w:p>
    <w:p w14:paraId="5DAE3718" w14:textId="77777777" w:rsidR="00055E35" w:rsidRDefault="00886EA6" w:rsidP="00886EA6">
      <w:pPr>
        <w:tabs>
          <w:tab w:val="left" w:pos="2205"/>
        </w:tabs>
      </w:pPr>
      <w:r>
        <w:tab/>
      </w:r>
    </w:p>
    <w:p w14:paraId="7F846EE7" w14:textId="7F7D0FF1" w:rsidR="00886EA6" w:rsidRPr="00AF1E3B" w:rsidRDefault="00886EA6" w:rsidP="00886EA6">
      <w:pPr>
        <w:tabs>
          <w:tab w:val="left" w:pos="2205"/>
        </w:tabs>
      </w:pPr>
      <w:r>
        <w:rPr>
          <w:b/>
        </w:rPr>
        <w:t xml:space="preserve">We strongly support standards based on </w:t>
      </w:r>
      <w:r w:rsidR="00F87E30">
        <w:rPr>
          <w:b/>
        </w:rPr>
        <w:t xml:space="preserve">performance equivalent to </w:t>
      </w:r>
      <w:r w:rsidR="00B86696">
        <w:rPr>
          <w:b/>
        </w:rPr>
        <w:t xml:space="preserve">furnace fans with </w:t>
      </w:r>
      <w:r>
        <w:rPr>
          <w:b/>
        </w:rPr>
        <w:t xml:space="preserve">constant-torque </w:t>
      </w:r>
      <w:r w:rsidR="008E4CA2">
        <w:rPr>
          <w:b/>
        </w:rPr>
        <w:t>brushless permanent magnet (</w:t>
      </w:r>
      <w:r>
        <w:rPr>
          <w:b/>
        </w:rPr>
        <w:t>BPM</w:t>
      </w:r>
      <w:r w:rsidR="008E4CA2">
        <w:rPr>
          <w:b/>
        </w:rPr>
        <w:t>)</w:t>
      </w:r>
      <w:r>
        <w:rPr>
          <w:b/>
        </w:rPr>
        <w:t xml:space="preserve"> motors and multi-stage/modulating controls for the major product classes.</w:t>
      </w:r>
      <w:r w:rsidR="002F6A7C">
        <w:rPr>
          <w:rStyle w:val="FootnoteReference"/>
          <w:b/>
        </w:rPr>
        <w:footnoteReference w:id="1"/>
      </w:r>
      <w:r w:rsidR="00F62C43">
        <w:t xml:space="preserve"> </w:t>
      </w:r>
      <w:r w:rsidR="00F56D02">
        <w:t>DOE found that constant-torque BPM motors with multi-stage/modulating controls reduce furnace fan electricity consumption by more than 50%.</w:t>
      </w:r>
      <w:r w:rsidR="00F56D02">
        <w:rPr>
          <w:rStyle w:val="FootnoteReference"/>
        </w:rPr>
        <w:footnoteReference w:id="2"/>
      </w:r>
      <w:r w:rsidR="00F56D02">
        <w:t xml:space="preserve"> </w:t>
      </w:r>
      <w:r w:rsidR="00F62C43">
        <w:t xml:space="preserve">DOE estimates that the standards proposed in the NOPR would save 4.58 quads of energy from purchases over 30 years and would yield net present value savings </w:t>
      </w:r>
      <w:r w:rsidR="007F71BB">
        <w:t xml:space="preserve">for consumers </w:t>
      </w:r>
      <w:r w:rsidR="00F62C43">
        <w:t xml:space="preserve">of </w:t>
      </w:r>
      <w:r w:rsidR="007F71BB">
        <w:t>$8.5-$26.2 billion</w:t>
      </w:r>
      <w:r w:rsidR="00F62C43">
        <w:t xml:space="preserve">. </w:t>
      </w:r>
      <w:r w:rsidR="00D85DC7">
        <w:t xml:space="preserve">Average LCC savings for consumers for </w:t>
      </w:r>
      <w:r w:rsidR="00200023">
        <w:t>furnace fans in non-weatherized non-condensing and condensing furnaces are $474 and $371, respectively.</w:t>
      </w:r>
      <w:r w:rsidR="00FE4DAC">
        <w:rPr>
          <w:rStyle w:val="FootnoteReference"/>
        </w:rPr>
        <w:footnoteReference w:id="3"/>
      </w:r>
      <w:r w:rsidR="00200023">
        <w:t xml:space="preserve"> </w:t>
      </w:r>
      <w:r w:rsidR="00A247E7">
        <w:t>In addition to achieving large energy savings</w:t>
      </w:r>
      <w:r w:rsidR="00D85DC7">
        <w:t xml:space="preserve"> and electricity bill savings for consumers</w:t>
      </w:r>
      <w:r w:rsidR="00A247E7">
        <w:t xml:space="preserve">, constant-torque BPM motors </w:t>
      </w:r>
      <w:r w:rsidR="00AF1E3B">
        <w:t>with</w:t>
      </w:r>
      <w:r w:rsidR="00A247E7">
        <w:t xml:space="preserve"> multi-stage/modulating controls can improve comfort by </w:t>
      </w:r>
      <w:r w:rsidR="00723AFB">
        <w:t>doing a better job of providing</w:t>
      </w:r>
      <w:r w:rsidR="00A247E7">
        <w:t xml:space="preserve"> </w:t>
      </w:r>
      <w:r w:rsidR="00723AFB">
        <w:t xml:space="preserve">sufficient </w:t>
      </w:r>
      <w:r w:rsidR="00A247E7">
        <w:t>airflow</w:t>
      </w:r>
      <w:r w:rsidR="00837956">
        <w:t xml:space="preserve"> in the field </w:t>
      </w:r>
      <w:r w:rsidR="00AF1E3B">
        <w:t>and reducing cycling in heating mode.</w:t>
      </w:r>
    </w:p>
    <w:p w14:paraId="169F964C" w14:textId="77777777" w:rsidR="00886EA6" w:rsidRDefault="00886EA6" w:rsidP="00886EA6">
      <w:pPr>
        <w:tabs>
          <w:tab w:val="left" w:pos="2205"/>
        </w:tabs>
      </w:pPr>
    </w:p>
    <w:p w14:paraId="03559730" w14:textId="77777777" w:rsidR="00557CB7" w:rsidRPr="003660E2" w:rsidRDefault="00557CB7" w:rsidP="00886EA6">
      <w:pPr>
        <w:tabs>
          <w:tab w:val="left" w:pos="2205"/>
        </w:tabs>
      </w:pPr>
      <w:r w:rsidRPr="00557CB7">
        <w:rPr>
          <w:b/>
          <w:shd w:val="clear" w:color="auto" w:fill="FFFFFF"/>
        </w:rPr>
        <w:t xml:space="preserve">We encourage DOE to work with manufacturers to </w:t>
      </w:r>
      <w:r w:rsidR="00B62D3E">
        <w:rPr>
          <w:b/>
          <w:shd w:val="clear" w:color="auto" w:fill="FFFFFF"/>
        </w:rPr>
        <w:t xml:space="preserve">obtain </w:t>
      </w:r>
      <w:r w:rsidRPr="00557CB7">
        <w:rPr>
          <w:b/>
          <w:shd w:val="clear" w:color="auto" w:fill="FFFFFF"/>
        </w:rPr>
        <w:t xml:space="preserve">additional data and </w:t>
      </w:r>
      <w:r w:rsidR="00FC2748">
        <w:rPr>
          <w:b/>
          <w:shd w:val="clear" w:color="auto" w:fill="FFFFFF"/>
        </w:rPr>
        <w:t xml:space="preserve">to </w:t>
      </w:r>
      <w:r w:rsidRPr="00557CB7">
        <w:rPr>
          <w:b/>
          <w:shd w:val="clear" w:color="auto" w:fill="FFFFFF"/>
        </w:rPr>
        <w:t xml:space="preserve">ensure that the FER </w:t>
      </w:r>
      <w:r w:rsidR="00772AB4">
        <w:rPr>
          <w:b/>
          <w:shd w:val="clear" w:color="auto" w:fill="FFFFFF"/>
        </w:rPr>
        <w:t>equations</w:t>
      </w:r>
      <w:r w:rsidRPr="00557CB7">
        <w:rPr>
          <w:b/>
          <w:shd w:val="clear" w:color="auto" w:fill="FFFFFF"/>
        </w:rPr>
        <w:t xml:space="preserve"> reflect the </w:t>
      </w:r>
      <w:r w:rsidR="00F83975">
        <w:rPr>
          <w:b/>
          <w:shd w:val="clear" w:color="auto" w:fill="FFFFFF"/>
        </w:rPr>
        <w:t xml:space="preserve">performance of the </w:t>
      </w:r>
      <w:r w:rsidRPr="00557CB7">
        <w:rPr>
          <w:b/>
          <w:shd w:val="clear" w:color="auto" w:fill="FFFFFF"/>
        </w:rPr>
        <w:t>assumed design options.</w:t>
      </w:r>
      <w:r w:rsidR="003660E2">
        <w:rPr>
          <w:b/>
          <w:shd w:val="clear" w:color="auto" w:fill="FFFFFF"/>
        </w:rPr>
        <w:t xml:space="preserve"> </w:t>
      </w:r>
      <w:r w:rsidR="003660E2">
        <w:rPr>
          <w:shd w:val="clear" w:color="auto" w:fill="FFFFFF"/>
        </w:rPr>
        <w:t xml:space="preserve">At the DOE public meeting on December 3, manufacturers stated that the FER </w:t>
      </w:r>
      <w:r w:rsidR="002D39A4">
        <w:rPr>
          <w:shd w:val="clear" w:color="auto" w:fill="FFFFFF"/>
        </w:rPr>
        <w:t>equations</w:t>
      </w:r>
      <w:r w:rsidR="003660E2">
        <w:rPr>
          <w:shd w:val="clear" w:color="auto" w:fill="FFFFFF"/>
        </w:rPr>
        <w:t xml:space="preserve"> for the efficiency levels analyzed do not reflect the assumed design options. Several manufacturers also stated that they have products that employ the design options </w:t>
      </w:r>
      <w:r w:rsidR="00CC260E">
        <w:rPr>
          <w:shd w:val="clear" w:color="auto" w:fill="FFFFFF"/>
        </w:rPr>
        <w:t xml:space="preserve">on which the proposed standards are based and yet their products would not meet the proposed standards. We encourage DOE </w:t>
      </w:r>
      <w:r w:rsidR="00772AB4">
        <w:rPr>
          <w:shd w:val="clear" w:color="auto" w:fill="FFFFFF"/>
        </w:rPr>
        <w:t xml:space="preserve">to work with manufacturers to obtain additional data and to make any necessary revisions to the FER equations to ensure that the efficiency levels reflect the performance of the assumed design options. However, it is important to note that even among furnace fans of the same </w:t>
      </w:r>
      <w:r w:rsidR="00374254">
        <w:rPr>
          <w:shd w:val="clear" w:color="auto" w:fill="FFFFFF"/>
        </w:rPr>
        <w:t xml:space="preserve">airflow </w:t>
      </w:r>
      <w:r w:rsidR="00772AB4">
        <w:rPr>
          <w:shd w:val="clear" w:color="auto" w:fill="FFFFFF"/>
        </w:rPr>
        <w:t>capacity with the same motors and controls, we would expect a range of efficiency levels due t</w:t>
      </w:r>
      <w:r w:rsidR="00AC6EDA">
        <w:rPr>
          <w:shd w:val="clear" w:color="auto" w:fill="FFFFFF"/>
        </w:rPr>
        <w:t xml:space="preserve">o differences in housing </w:t>
      </w:r>
      <w:r w:rsidR="00772AB4">
        <w:rPr>
          <w:shd w:val="clear" w:color="auto" w:fill="FFFFFF"/>
        </w:rPr>
        <w:t>and airflow path design.</w:t>
      </w:r>
      <w:r w:rsidR="008B1A26">
        <w:rPr>
          <w:shd w:val="clear" w:color="auto" w:fill="FFFFFF"/>
        </w:rPr>
        <w:t xml:space="preserve"> Therefore, </w:t>
      </w:r>
      <w:r w:rsidR="008E4CA2">
        <w:rPr>
          <w:shd w:val="clear" w:color="auto" w:fill="FFFFFF"/>
        </w:rPr>
        <w:t xml:space="preserve">appropriate standard levels based on </w:t>
      </w:r>
      <w:r w:rsidR="008E4CA2">
        <w:rPr>
          <w:shd w:val="clear" w:color="auto" w:fill="FFFFFF"/>
        </w:rPr>
        <w:lastRenderedPageBreak/>
        <w:t xml:space="preserve">performance equivalent to furnace fans with constant-torque BPM motors and multi-stage/modulating controls </w:t>
      </w:r>
      <w:r w:rsidR="00667BD2">
        <w:rPr>
          <w:shd w:val="clear" w:color="auto" w:fill="FFFFFF"/>
        </w:rPr>
        <w:t xml:space="preserve">may eliminate some furnace fans that employ the assumed design options but which have poor housing </w:t>
      </w:r>
      <w:r w:rsidR="00F34AEA">
        <w:rPr>
          <w:shd w:val="clear" w:color="auto" w:fill="FFFFFF"/>
        </w:rPr>
        <w:t xml:space="preserve">design </w:t>
      </w:r>
      <w:r w:rsidR="00667BD2">
        <w:rPr>
          <w:shd w:val="clear" w:color="auto" w:fill="FFFFFF"/>
        </w:rPr>
        <w:t>and/or airflow path design.</w:t>
      </w:r>
    </w:p>
    <w:p w14:paraId="0595BB0C" w14:textId="77777777" w:rsidR="00557CB7" w:rsidRDefault="00557CB7" w:rsidP="00886EA6">
      <w:pPr>
        <w:tabs>
          <w:tab w:val="left" w:pos="2205"/>
        </w:tabs>
      </w:pPr>
    </w:p>
    <w:p w14:paraId="5C356E16" w14:textId="1BA23FDF" w:rsidR="00886EA6" w:rsidRPr="00C62AE9" w:rsidRDefault="00886EA6" w:rsidP="00886EA6">
      <w:pPr>
        <w:tabs>
          <w:tab w:val="left" w:pos="2205"/>
        </w:tabs>
      </w:pPr>
      <w:r>
        <w:rPr>
          <w:b/>
        </w:rPr>
        <w:t>We support the inclusion of modular blowers in the scope of coverage.</w:t>
      </w:r>
      <w:r w:rsidR="00C62AE9">
        <w:t xml:space="preserve"> At the </w:t>
      </w:r>
      <w:r w:rsidR="00B00128">
        <w:t xml:space="preserve">DOE </w:t>
      </w:r>
      <w:r w:rsidR="00C62AE9">
        <w:t xml:space="preserve">public meeting on December 3, manufacturers suggested that modular blowers should be excluded from this rulemaking. </w:t>
      </w:r>
      <w:r w:rsidR="00BD2A49">
        <w:t xml:space="preserve">We understand that the strip </w:t>
      </w:r>
      <w:r w:rsidR="004052F8">
        <w:t xml:space="preserve">heat </w:t>
      </w:r>
      <w:r w:rsidR="00BD2A49">
        <w:t xml:space="preserve">used with electric furnaces is often installed in the field, which means that </w:t>
      </w:r>
      <w:r w:rsidR="004052F8">
        <w:t>an “electric furnace” is</w:t>
      </w:r>
      <w:r w:rsidR="00BD2A49">
        <w:t xml:space="preserve"> often sold by the manufacturer as a “modular blower.” </w:t>
      </w:r>
      <w:r w:rsidR="00C62AE9">
        <w:t>DOE found that non-weatherized and manufactured home electric furnace/modular blower furnace fans represent 10% of all furnace fan sales.</w:t>
      </w:r>
      <w:r w:rsidR="00C62AE9">
        <w:rPr>
          <w:rStyle w:val="FootnoteReference"/>
        </w:rPr>
        <w:footnoteReference w:id="4"/>
      </w:r>
      <w:r w:rsidR="00C62AE9">
        <w:t xml:space="preserve"> </w:t>
      </w:r>
      <w:r w:rsidR="00557CB7">
        <w:t xml:space="preserve">Excluding modular blowers </w:t>
      </w:r>
      <w:r w:rsidR="00C62FC8">
        <w:t xml:space="preserve">from the scope of coverage </w:t>
      </w:r>
      <w:r w:rsidR="00557CB7">
        <w:t>would not only reduce energy savings from this rulemaking, but would also create a loophole—manufacturers would have an incentive to sell electric furnaces as modular blowers (without strip heat installed) such that they would no longer have to comply with the furnace fan standards.</w:t>
      </w:r>
    </w:p>
    <w:p w14:paraId="08CD1AB6" w14:textId="77777777" w:rsidR="00886EA6" w:rsidRDefault="00886EA6" w:rsidP="00886EA6">
      <w:pPr>
        <w:tabs>
          <w:tab w:val="left" w:pos="2205"/>
        </w:tabs>
      </w:pPr>
    </w:p>
    <w:p w14:paraId="3F866DFE" w14:textId="7BD985E3" w:rsidR="00886EA6" w:rsidRDefault="00886EA6" w:rsidP="00886EA6">
      <w:pPr>
        <w:tabs>
          <w:tab w:val="left" w:pos="2205"/>
        </w:tabs>
      </w:pPr>
      <w:r>
        <w:rPr>
          <w:b/>
        </w:rPr>
        <w:t xml:space="preserve">We encourage DOE </w:t>
      </w:r>
      <w:r w:rsidR="00DF1D89">
        <w:rPr>
          <w:b/>
        </w:rPr>
        <w:t>in the future</w:t>
      </w:r>
      <w:r>
        <w:rPr>
          <w:b/>
        </w:rPr>
        <w:t xml:space="preserve"> to </w:t>
      </w:r>
      <w:r w:rsidR="00F62C43">
        <w:rPr>
          <w:b/>
        </w:rPr>
        <w:t xml:space="preserve">adopt standards and/or test procedure changes to </w:t>
      </w:r>
      <w:r>
        <w:rPr>
          <w:b/>
        </w:rPr>
        <w:t>drive improved efficiency of furnace fans that are part of single-package and blower-coil central air conditioners and heat pumps.</w:t>
      </w:r>
      <w:r w:rsidR="00BD2A49">
        <w:t xml:space="preserve"> We are disappointed that DOE has excluded furnace fans </w:t>
      </w:r>
      <w:r w:rsidR="00BD2A49" w:rsidRPr="00BD2A49">
        <w:t xml:space="preserve">that are part of single-package </w:t>
      </w:r>
      <w:r w:rsidR="009C2C04" w:rsidRPr="00BD2A49">
        <w:t xml:space="preserve">and blower-coil </w:t>
      </w:r>
      <w:r w:rsidR="00BD2A49" w:rsidRPr="00BD2A49">
        <w:t xml:space="preserve">central air conditioners and heat pumps </w:t>
      </w:r>
      <w:r w:rsidR="00BD2A49">
        <w:t>from</w:t>
      </w:r>
      <w:r w:rsidR="00BD2A49" w:rsidRPr="00BD2A49">
        <w:t xml:space="preserve"> the scope of coverage</w:t>
      </w:r>
      <w:r w:rsidR="00BD2A49">
        <w:t xml:space="preserve"> in the NOPR</w:t>
      </w:r>
      <w:r w:rsidR="00BD2A49" w:rsidRPr="00BD2A49">
        <w:t>.</w:t>
      </w:r>
      <w:r w:rsidR="00BD2A49">
        <w:t xml:space="preserve"> As we explained in our comments on the preliminary technical support document, since the test procedures for SEER and HSPF do not incorporate rea</w:t>
      </w:r>
      <w:r w:rsidR="00002A05">
        <w:t>listic external static pressure values</w:t>
      </w:r>
      <w:r w:rsidR="00BD2A49">
        <w:t xml:space="preserve">, </w:t>
      </w:r>
      <w:r w:rsidR="00BD2A49" w:rsidRPr="000D1752">
        <w:t xml:space="preserve">these metrics </w:t>
      </w:r>
      <w:r w:rsidR="00BD2A49">
        <w:t>neither adequately capture fan energy consumption nor</w:t>
      </w:r>
      <w:r w:rsidR="00BD2A49" w:rsidRPr="000D1752">
        <w:t xml:space="preserve"> ensure adequate airflow in the field.</w:t>
      </w:r>
      <w:r w:rsidR="00BD2A49">
        <w:rPr>
          <w:rStyle w:val="FootnoteReference"/>
        </w:rPr>
        <w:footnoteReference w:id="5"/>
      </w:r>
      <w:r w:rsidR="00BD2A49">
        <w:t xml:space="preserve"> In addition, SEER and HSPF do not account for fan operation in constant circulation mode, which means that these metrics are not capturing furnace fan energy use in all modes of operation. Further, we understand that i</w:t>
      </w:r>
      <w:r w:rsidR="00DA47FD">
        <w:t>t is not uncommon for heat pump</w:t>
      </w:r>
      <w:r w:rsidR="00BD2A49">
        <w:t xml:space="preserve"> indoor units to be </w:t>
      </w:r>
      <w:r w:rsidR="00545F40">
        <w:t xml:space="preserve">installed and operated </w:t>
      </w:r>
      <w:r w:rsidR="00BD2A49">
        <w:t xml:space="preserve">as electric furnaces (without an outdoor unit). </w:t>
      </w:r>
      <w:r w:rsidR="008D130C">
        <w:t>T</w:t>
      </w:r>
      <w:r w:rsidR="007C515B">
        <w:t>here is no SEER or HSPF rating that applies to these heat pump indoor units</w:t>
      </w:r>
      <w:r w:rsidR="00155150">
        <w:t xml:space="preserve"> when they are installed without an outdoor unit</w:t>
      </w:r>
      <w:r w:rsidR="007C515B">
        <w:t>.</w:t>
      </w:r>
    </w:p>
    <w:p w14:paraId="233673C1" w14:textId="77777777" w:rsidR="00A25AAF" w:rsidRDefault="00A25AAF" w:rsidP="00886EA6">
      <w:pPr>
        <w:tabs>
          <w:tab w:val="left" w:pos="2205"/>
        </w:tabs>
      </w:pPr>
    </w:p>
    <w:p w14:paraId="7B037BB7" w14:textId="77777777" w:rsidR="00A25AAF" w:rsidRPr="00BD2A49" w:rsidRDefault="00A25AAF" w:rsidP="00886EA6">
      <w:pPr>
        <w:tabs>
          <w:tab w:val="left" w:pos="2205"/>
        </w:tabs>
      </w:pPr>
      <w:r>
        <w:t>W</w:t>
      </w:r>
      <w:r w:rsidR="00AD05B4">
        <w:t>hile w</w:t>
      </w:r>
      <w:r>
        <w:t xml:space="preserve">e recognize that it may be too late in the current rulemaking to include furnace fans </w:t>
      </w:r>
      <w:r w:rsidRPr="00BD2A49">
        <w:t xml:space="preserve">that are part of </w:t>
      </w:r>
      <w:r w:rsidR="00D61777" w:rsidRPr="00BD2A49">
        <w:t xml:space="preserve">single-package </w:t>
      </w:r>
      <w:r w:rsidRPr="00BD2A49">
        <w:t xml:space="preserve">and </w:t>
      </w:r>
      <w:r w:rsidR="00D61777" w:rsidRPr="00BD2A49">
        <w:t xml:space="preserve">blower-coil </w:t>
      </w:r>
      <w:r w:rsidRPr="00BD2A49">
        <w:t xml:space="preserve">central air conditioners and heat pumps </w:t>
      </w:r>
      <w:r w:rsidR="002465AC">
        <w:t>in</w:t>
      </w:r>
      <w:r w:rsidRPr="00BD2A49">
        <w:t xml:space="preserve"> the scope of coverage</w:t>
      </w:r>
      <w:r w:rsidR="00AD05B4">
        <w:t>, we encourage DOE to address</w:t>
      </w:r>
      <w:r>
        <w:t xml:space="preserve"> furnace fan efficiency in </w:t>
      </w:r>
      <w:r w:rsidR="00D61777">
        <w:t>these products</w:t>
      </w:r>
      <w:r w:rsidR="00AD05B4">
        <w:t xml:space="preserve"> in the future through one of two options</w:t>
      </w:r>
      <w:r>
        <w:t>. The first option would be to amend the test procedures for central air conditioners and heat pumps to incorporate more realistic external static pressure values. A test procedure with more realistic external static pressure values would both better capture fan energy consumption and better ensure adequate airflow in the field. The second option would be to include furnace fans that are part of single-package and blower-coil central air conditioners and heat pumps in a future rulemaking for furnace fans. If DOE pursued this option, it would be less critical to change the external static pressure values in the central air conditioner and heat pump test procedure</w:t>
      </w:r>
      <w:r w:rsidR="00F03AC2">
        <w:t>s</w:t>
      </w:r>
      <w:r>
        <w:t xml:space="preserve"> since fan efficiency would be addressed through standards for furnace fans.</w:t>
      </w:r>
    </w:p>
    <w:p w14:paraId="4FAE1C0F" w14:textId="77777777" w:rsidR="00663A62" w:rsidRDefault="00663A62" w:rsidP="00886EA6">
      <w:pPr>
        <w:tabs>
          <w:tab w:val="left" w:pos="2205"/>
        </w:tabs>
      </w:pPr>
    </w:p>
    <w:p w14:paraId="07533C2E" w14:textId="0F90D901" w:rsidR="00F97B55" w:rsidRPr="00D46AE0" w:rsidRDefault="00F97B55" w:rsidP="00886EA6">
      <w:pPr>
        <w:tabs>
          <w:tab w:val="left" w:pos="2205"/>
        </w:tabs>
      </w:pPr>
      <w:r>
        <w:rPr>
          <w:b/>
        </w:rPr>
        <w:t xml:space="preserve">We encourage DOE to require </w:t>
      </w:r>
      <w:r w:rsidR="00D46AE0">
        <w:rPr>
          <w:b/>
        </w:rPr>
        <w:t xml:space="preserve">that manufacturers </w:t>
      </w:r>
      <w:r>
        <w:rPr>
          <w:b/>
        </w:rPr>
        <w:t xml:space="preserve">report </w:t>
      </w:r>
      <w:r w:rsidR="00D46AE0">
        <w:rPr>
          <w:b/>
        </w:rPr>
        <w:t>power consumption in each operating mode</w:t>
      </w:r>
      <w:r w:rsidR="00B54F65">
        <w:rPr>
          <w:b/>
        </w:rPr>
        <w:t xml:space="preserve"> </w:t>
      </w:r>
      <w:r w:rsidR="009B36D8">
        <w:rPr>
          <w:b/>
        </w:rPr>
        <w:t>(</w:t>
      </w:r>
      <w:proofErr w:type="spellStart"/>
      <w:r w:rsidR="009B36D8">
        <w:rPr>
          <w:b/>
        </w:rPr>
        <w:t>E</w:t>
      </w:r>
      <w:r w:rsidR="009B36D8" w:rsidRPr="009B36D8">
        <w:rPr>
          <w:b/>
          <w:vertAlign w:val="subscript"/>
        </w:rPr>
        <w:t>Max</w:t>
      </w:r>
      <w:proofErr w:type="spellEnd"/>
      <w:r w:rsidR="009B36D8">
        <w:rPr>
          <w:b/>
        </w:rPr>
        <w:t xml:space="preserve">, </w:t>
      </w:r>
      <w:proofErr w:type="spellStart"/>
      <w:r w:rsidR="009B36D8">
        <w:rPr>
          <w:b/>
        </w:rPr>
        <w:t>E</w:t>
      </w:r>
      <w:r w:rsidR="009B36D8" w:rsidRPr="009B36D8">
        <w:rPr>
          <w:b/>
          <w:vertAlign w:val="subscript"/>
        </w:rPr>
        <w:t>Heat</w:t>
      </w:r>
      <w:proofErr w:type="spellEnd"/>
      <w:r w:rsidR="009B36D8">
        <w:rPr>
          <w:b/>
        </w:rPr>
        <w:t xml:space="preserve">, and </w:t>
      </w:r>
      <w:proofErr w:type="spellStart"/>
      <w:r w:rsidR="009B36D8">
        <w:rPr>
          <w:b/>
        </w:rPr>
        <w:t>E</w:t>
      </w:r>
      <w:r w:rsidR="009B36D8" w:rsidRPr="009B36D8">
        <w:rPr>
          <w:b/>
          <w:vertAlign w:val="subscript"/>
        </w:rPr>
        <w:t>Circ</w:t>
      </w:r>
      <w:proofErr w:type="spellEnd"/>
      <w:r w:rsidR="009B36D8">
        <w:rPr>
          <w:b/>
        </w:rPr>
        <w:t xml:space="preserve">) </w:t>
      </w:r>
      <w:r w:rsidR="00D46AE0">
        <w:rPr>
          <w:b/>
        </w:rPr>
        <w:t>and HCR in addition to FER</w:t>
      </w:r>
      <w:r w:rsidR="00B54F65">
        <w:rPr>
          <w:b/>
        </w:rPr>
        <w:t xml:space="preserve"> and </w:t>
      </w:r>
      <w:proofErr w:type="spellStart"/>
      <w:r w:rsidR="00B54F65">
        <w:rPr>
          <w:b/>
        </w:rPr>
        <w:t>Q</w:t>
      </w:r>
      <w:r w:rsidR="00B54F65" w:rsidRPr="00B54F65">
        <w:rPr>
          <w:b/>
          <w:vertAlign w:val="subscript"/>
        </w:rPr>
        <w:t>Max</w:t>
      </w:r>
      <w:proofErr w:type="spellEnd"/>
      <w:r>
        <w:rPr>
          <w:b/>
        </w:rPr>
        <w:t xml:space="preserve">. </w:t>
      </w:r>
      <w:r w:rsidR="00D46AE0">
        <w:t xml:space="preserve">As the California IOUs explain in their comments in response to the NOPR, </w:t>
      </w:r>
      <w:r w:rsidR="00B54F65">
        <w:t xml:space="preserve">data on furnace fan power </w:t>
      </w:r>
      <w:r w:rsidR="00B54F65">
        <w:lastRenderedPageBreak/>
        <w:t>consumption in different operating modes will help utilities and other energy efficiency program implementers to develop targeted incentive programs for high-efficiency furnace fans. We do not b</w:t>
      </w:r>
      <w:r w:rsidR="008947F8">
        <w:t>elieve that reporting these additional values</w:t>
      </w:r>
      <w:r w:rsidR="00B54F65">
        <w:t xml:space="preserve"> would represent a significant burden since </w:t>
      </w:r>
      <w:r w:rsidR="00C7333B">
        <w:t>these data will already be generated as part of the test procedures.</w:t>
      </w:r>
    </w:p>
    <w:p w14:paraId="1F38623E" w14:textId="77777777" w:rsidR="00F97B55" w:rsidRDefault="00F97B55" w:rsidP="00886EA6">
      <w:pPr>
        <w:tabs>
          <w:tab w:val="left" w:pos="2205"/>
        </w:tabs>
      </w:pPr>
    </w:p>
    <w:p w14:paraId="65773999" w14:textId="77777777" w:rsidR="00C06777" w:rsidRDefault="00C06777" w:rsidP="00886EA6">
      <w:pPr>
        <w:tabs>
          <w:tab w:val="left" w:pos="2205"/>
        </w:tabs>
      </w:pPr>
      <w:r>
        <w:rPr>
          <w:b/>
        </w:rPr>
        <w:t xml:space="preserve">We believe that DOE has </w:t>
      </w:r>
      <w:r w:rsidR="00BC31AE">
        <w:rPr>
          <w:b/>
        </w:rPr>
        <w:t>thoroughly</w:t>
      </w:r>
      <w:r>
        <w:rPr>
          <w:b/>
        </w:rPr>
        <w:t xml:space="preserve"> analyzed motor lifetime and repair costs.</w:t>
      </w:r>
      <w:r w:rsidR="00D23B72">
        <w:rPr>
          <w:b/>
        </w:rPr>
        <w:t xml:space="preserve"> </w:t>
      </w:r>
      <w:r w:rsidR="00D23B72">
        <w:t>We are not aware of any data indicating that constant-torque BPM motors have a shorter lifetime than PSC motors. In the analysis for the NOPR, DOE included</w:t>
      </w:r>
      <w:r w:rsidR="00663A62">
        <w:t xml:space="preserve"> additional labor hours to repair constant-torque and constant-airflow BPM motors and higher equipment costs for BPM motors. DOE also assumed that repair to electronics would occur more often for constant-torque BPM motors and especially </w:t>
      </w:r>
      <w:r w:rsidR="00414178">
        <w:t xml:space="preserve">for </w:t>
      </w:r>
      <w:r w:rsidR="00663A62">
        <w:t>constant-airflow BPM motors compared to PSC motors with controls.</w:t>
      </w:r>
      <w:r w:rsidR="00F03AC2">
        <w:rPr>
          <w:rStyle w:val="FootnoteReference"/>
        </w:rPr>
        <w:footnoteReference w:id="6"/>
      </w:r>
    </w:p>
    <w:p w14:paraId="29E98DBB" w14:textId="77777777" w:rsidR="00663A62" w:rsidRDefault="00663A62" w:rsidP="00886EA6">
      <w:pPr>
        <w:tabs>
          <w:tab w:val="left" w:pos="2205"/>
        </w:tabs>
      </w:pPr>
    </w:p>
    <w:p w14:paraId="7FEF0F07" w14:textId="53B5BB23" w:rsidR="00886EA6" w:rsidRPr="00FB5DC8" w:rsidRDefault="00F97B55" w:rsidP="00886EA6">
      <w:pPr>
        <w:tabs>
          <w:tab w:val="left" w:pos="2205"/>
        </w:tabs>
      </w:pPr>
      <w:r>
        <w:rPr>
          <w:b/>
        </w:rPr>
        <w:t>We encourage DOE to update the analysis to reflect recent survey data on use of constant circulation mode</w:t>
      </w:r>
      <w:r w:rsidR="00D9444F">
        <w:rPr>
          <w:b/>
        </w:rPr>
        <w:t>.</w:t>
      </w:r>
      <w:r w:rsidR="00FB5DC8">
        <w:rPr>
          <w:b/>
        </w:rPr>
        <w:t xml:space="preserve"> </w:t>
      </w:r>
      <w:r w:rsidR="002D53AB">
        <w:t xml:space="preserve">In the NOPR, DOE assumed that </w:t>
      </w:r>
      <w:r w:rsidR="002B5031">
        <w:t>11%</w:t>
      </w:r>
      <w:r w:rsidR="002D53AB">
        <w:t xml:space="preserve"> of households</w:t>
      </w:r>
      <w:r w:rsidR="002B5031">
        <w:t xml:space="preserve"> nationally</w:t>
      </w:r>
      <w:r w:rsidR="002D53AB">
        <w:t xml:space="preserve"> use constant circulation mode.</w:t>
      </w:r>
      <w:r w:rsidR="002D53AB">
        <w:rPr>
          <w:rStyle w:val="FootnoteReference"/>
        </w:rPr>
        <w:footnoteReference w:id="7"/>
      </w:r>
      <w:r w:rsidR="002D53AB">
        <w:t xml:space="preserve"> </w:t>
      </w:r>
      <w:r w:rsidR="002B5031">
        <w:t>DOE also conducted a sensitivity analysis based on half as much use of constant circulation mode.</w:t>
      </w:r>
      <w:r w:rsidR="002B5031">
        <w:rPr>
          <w:rStyle w:val="FootnoteReference"/>
        </w:rPr>
        <w:footnoteReference w:id="8"/>
      </w:r>
      <w:r w:rsidR="002B5031">
        <w:t xml:space="preserve"> </w:t>
      </w:r>
      <w:r w:rsidR="00F87E30">
        <w:t xml:space="preserve">At the </w:t>
      </w:r>
      <w:r w:rsidR="003418E8">
        <w:t xml:space="preserve">DOE </w:t>
      </w:r>
      <w:r w:rsidR="00F87E30">
        <w:t>public meeting on December 3, DOE cited a recent national survey that found that 19% of households frequently use constant circulation.</w:t>
      </w:r>
      <w:r w:rsidR="00F87E30">
        <w:rPr>
          <w:rStyle w:val="FootnoteReference"/>
        </w:rPr>
        <w:footnoteReference w:id="9"/>
      </w:r>
      <w:r w:rsidR="00F87E30">
        <w:t xml:space="preserve"> </w:t>
      </w:r>
      <w:r w:rsidR="005F6868">
        <w:t>These recent survey data suggest</w:t>
      </w:r>
      <w:r w:rsidR="007535C7">
        <w:t xml:space="preserve"> </w:t>
      </w:r>
      <w:r w:rsidR="007535C7" w:rsidRPr="007535C7">
        <w:t xml:space="preserve">that DOE’s assumptions in the NOPR for hours spent in constant circulation mode are </w:t>
      </w:r>
      <w:r w:rsidR="00DA47FD">
        <w:t xml:space="preserve">too </w:t>
      </w:r>
      <w:r w:rsidR="007535C7" w:rsidRPr="007535C7">
        <w:t>conservative.</w:t>
      </w:r>
      <w:r w:rsidR="007535C7">
        <w:rPr>
          <w:b/>
        </w:rPr>
        <w:t xml:space="preserve"> </w:t>
      </w:r>
      <w:r>
        <w:t xml:space="preserve">We encourage </w:t>
      </w:r>
      <w:r w:rsidR="00DA47FD">
        <w:t xml:space="preserve">DOE </w:t>
      </w:r>
      <w:r>
        <w:t>to</w:t>
      </w:r>
      <w:r w:rsidR="00DA47FD">
        <w:t xml:space="preserve"> update the analysis to reflect the</w:t>
      </w:r>
      <w:r>
        <w:t xml:space="preserve"> recent survey data</w:t>
      </w:r>
      <w:r w:rsidR="00DA47FD">
        <w:t>. W</w:t>
      </w:r>
      <w:r w:rsidR="00FB5DC8">
        <w:t xml:space="preserve">e </w:t>
      </w:r>
      <w:r w:rsidR="00DA47FD">
        <w:t xml:space="preserve">also </w:t>
      </w:r>
      <w:r w:rsidR="00FB5DC8">
        <w:t>encourage DOE to drop the sensitivity analysis conducted for the NOPR</w:t>
      </w:r>
      <w:r w:rsidR="007535C7">
        <w:t xml:space="preserve"> since</w:t>
      </w:r>
      <w:r w:rsidR="005F6868">
        <w:t xml:space="preserve"> the recent survey data suggest</w:t>
      </w:r>
      <w:r w:rsidR="007535C7">
        <w:t xml:space="preserve"> that actual use o</w:t>
      </w:r>
      <w:r w:rsidR="000272AC">
        <w:t xml:space="preserve">f constant circulation mode </w:t>
      </w:r>
      <w:r>
        <w:t xml:space="preserve">is </w:t>
      </w:r>
      <w:r w:rsidR="007535C7">
        <w:t xml:space="preserve">higher </w:t>
      </w:r>
      <w:r w:rsidR="000272AC">
        <w:t xml:space="preserve">(not lower) </w:t>
      </w:r>
      <w:r w:rsidR="007535C7">
        <w:t>than that assumed in the NOPR</w:t>
      </w:r>
      <w:r w:rsidR="006061F5">
        <w:t>. However, we note that even under the sensitivity scenario assuming half as much use of constant circulation mode (Scenario 3)</w:t>
      </w:r>
      <w:r w:rsidR="00FB5DC8">
        <w:t xml:space="preserve">, the </w:t>
      </w:r>
      <w:r w:rsidR="006061F5">
        <w:t xml:space="preserve">proposed </w:t>
      </w:r>
      <w:r w:rsidR="00FB5DC8">
        <w:t xml:space="preserve">standards still yield large </w:t>
      </w:r>
      <w:r w:rsidR="006061F5">
        <w:t xml:space="preserve">life-cycle cost </w:t>
      </w:r>
      <w:r w:rsidR="00FB5DC8">
        <w:t>savings for consumers</w:t>
      </w:r>
      <w:r w:rsidR="006061F5">
        <w:t>.</w:t>
      </w:r>
      <w:r w:rsidR="006061F5">
        <w:rPr>
          <w:rStyle w:val="FootnoteReference"/>
        </w:rPr>
        <w:footnoteReference w:id="10"/>
      </w:r>
    </w:p>
    <w:p w14:paraId="1120866B" w14:textId="77777777" w:rsidR="00886EA6" w:rsidRDefault="00886EA6" w:rsidP="00886EA6">
      <w:pPr>
        <w:tabs>
          <w:tab w:val="left" w:pos="2205"/>
        </w:tabs>
        <w:rPr>
          <w:b/>
        </w:rPr>
      </w:pPr>
    </w:p>
    <w:p w14:paraId="27D1688D" w14:textId="77777777" w:rsidR="00B04EED" w:rsidRPr="003418E8" w:rsidRDefault="00B04EED" w:rsidP="00886EA6">
      <w:pPr>
        <w:tabs>
          <w:tab w:val="left" w:pos="2205"/>
        </w:tabs>
      </w:pPr>
      <w:r>
        <w:rPr>
          <w:b/>
        </w:rPr>
        <w:t xml:space="preserve">We believe that DOE has appropriately characterized manufacturer conversion costs. </w:t>
      </w:r>
      <w:r w:rsidR="003418E8">
        <w:t xml:space="preserve">At the DOE public meeting on December 3, manufacturers </w:t>
      </w:r>
      <w:r w:rsidR="00047663">
        <w:t>suggested</w:t>
      </w:r>
      <w:r w:rsidR="003418E8">
        <w:t xml:space="preserve"> that DOE’s estimates of product conversion costs were too low. The Technical Support Document notes that DOE considered feedback from multiple manufacturers to determine product conversion costs at each efficiency level.</w:t>
      </w:r>
      <w:r w:rsidR="003418E8">
        <w:rPr>
          <w:rStyle w:val="FootnoteReference"/>
        </w:rPr>
        <w:footnoteReference w:id="11"/>
      </w:r>
      <w:r w:rsidR="00047663">
        <w:t xml:space="preserve"> </w:t>
      </w:r>
      <w:r w:rsidR="00B85140">
        <w:t xml:space="preserve">We would expect product conversion costs </w:t>
      </w:r>
      <w:r w:rsidR="000272AC">
        <w:t xml:space="preserve">at the proposed efficiency levels </w:t>
      </w:r>
      <w:r w:rsidR="00B85140">
        <w:t>to be relatively low for two reasons. First, w</w:t>
      </w:r>
      <w:r w:rsidR="00047663">
        <w:t>e understand that constant-torque BPM motors are essentially “drop-in” replacements for PSC motors. In fact, multiple manufacturers offer constant-torque BPM motors that can replace PSC motors in the field.</w:t>
      </w:r>
      <w:r w:rsidR="00047663">
        <w:rPr>
          <w:rStyle w:val="FootnoteReference"/>
        </w:rPr>
        <w:footnoteReference w:id="12"/>
      </w:r>
      <w:r w:rsidR="00047663">
        <w:t xml:space="preserve"> </w:t>
      </w:r>
      <w:r w:rsidR="00B85140">
        <w:t xml:space="preserve">Second, </w:t>
      </w:r>
      <w:r w:rsidR="00047663">
        <w:t>DOE estimates that in the base case, 25% and 41% of furnace fans for non-weatherized non-condensing and non-weatherized condensing gas furnaces, respectively, will already employ either constant-torque or constant-airflow BPM motors.</w:t>
      </w:r>
      <w:r w:rsidR="00047663">
        <w:rPr>
          <w:rStyle w:val="FootnoteReference"/>
        </w:rPr>
        <w:footnoteReference w:id="13"/>
      </w:r>
      <w:r w:rsidR="00B85140">
        <w:t xml:space="preserve"> </w:t>
      </w:r>
    </w:p>
    <w:p w14:paraId="27A4AD1C" w14:textId="77777777" w:rsidR="00B04EED" w:rsidRDefault="00B04EED" w:rsidP="00886EA6">
      <w:pPr>
        <w:tabs>
          <w:tab w:val="left" w:pos="2205"/>
        </w:tabs>
        <w:rPr>
          <w:b/>
        </w:rPr>
      </w:pPr>
    </w:p>
    <w:p w14:paraId="7391D460" w14:textId="77777777" w:rsidR="009670E4" w:rsidRDefault="00597725" w:rsidP="009670E4">
      <w:r w:rsidRPr="00061B8C">
        <w:rPr>
          <w:b/>
        </w:rPr>
        <w:lastRenderedPageBreak/>
        <w:t xml:space="preserve">We encourage DOE to </w:t>
      </w:r>
      <w:r w:rsidR="00C6632C" w:rsidRPr="00061B8C">
        <w:rPr>
          <w:b/>
        </w:rPr>
        <w:t>adopt</w:t>
      </w:r>
      <w:r w:rsidRPr="00061B8C">
        <w:rPr>
          <w:b/>
        </w:rPr>
        <w:t xml:space="preserve"> </w:t>
      </w:r>
      <w:r w:rsidR="00C6632C" w:rsidRPr="00061B8C">
        <w:rPr>
          <w:b/>
        </w:rPr>
        <w:t>a compliance date</w:t>
      </w:r>
      <w:r w:rsidRPr="00061B8C">
        <w:rPr>
          <w:b/>
        </w:rPr>
        <w:t xml:space="preserve"> </w:t>
      </w:r>
      <w:r w:rsidR="009670E4">
        <w:rPr>
          <w:b/>
        </w:rPr>
        <w:t>of</w:t>
      </w:r>
      <w:r w:rsidRPr="00061B8C">
        <w:rPr>
          <w:b/>
        </w:rPr>
        <w:t xml:space="preserve"> </w:t>
      </w:r>
      <w:r w:rsidR="00E21B0D">
        <w:rPr>
          <w:b/>
        </w:rPr>
        <w:t xml:space="preserve">3 </w:t>
      </w:r>
      <w:r w:rsidRPr="00061B8C">
        <w:rPr>
          <w:b/>
        </w:rPr>
        <w:t>years after publication of the final rule.</w:t>
      </w:r>
      <w:r w:rsidR="00470E61" w:rsidRPr="00061B8C">
        <w:rPr>
          <w:b/>
        </w:rPr>
        <w:t xml:space="preserve"> </w:t>
      </w:r>
      <w:r w:rsidR="00061B8C">
        <w:t xml:space="preserve">In the NOPR, DOE proposed a 5-year compliance date. </w:t>
      </w:r>
      <w:r w:rsidR="000D4415">
        <w:t xml:space="preserve">The </w:t>
      </w:r>
      <w:r w:rsidR="009670E4">
        <w:t>proposed standards</w:t>
      </w:r>
      <w:r w:rsidR="000D4415">
        <w:t xml:space="preserve"> </w:t>
      </w:r>
      <w:r w:rsidR="00097139">
        <w:t xml:space="preserve">in the NOPR </w:t>
      </w:r>
      <w:r w:rsidR="000D4415">
        <w:t xml:space="preserve">are based on </w:t>
      </w:r>
      <w:r w:rsidR="0068418C">
        <w:t xml:space="preserve">constant-torque BPM motors and multi-stage/modulating controls, which are </w:t>
      </w:r>
      <w:r w:rsidR="000D4415">
        <w:t xml:space="preserve">technologies that are already widely employed in current </w:t>
      </w:r>
      <w:r w:rsidR="0068418C">
        <w:t>furnace fans</w:t>
      </w:r>
      <w:r w:rsidR="000D4415">
        <w:t xml:space="preserve">. </w:t>
      </w:r>
      <w:r w:rsidR="00EC1653">
        <w:t>DOE estimates that for all furnace types, constant-torque BPM motors have a 10% market share, and constant-airflow BPM motors represent 34% of the market.</w:t>
      </w:r>
      <w:r w:rsidR="00EC1653">
        <w:rPr>
          <w:rStyle w:val="FootnoteReference"/>
        </w:rPr>
        <w:footnoteReference w:id="14"/>
      </w:r>
      <w:r w:rsidR="00EC1653">
        <w:t xml:space="preserve"> </w:t>
      </w:r>
      <w:r w:rsidR="00047663">
        <w:t>As noted above, w</w:t>
      </w:r>
      <w:r w:rsidR="002B6C23">
        <w:t xml:space="preserve">e understand that constant-torque BPM motors are essentially “drop-in” replacements for PSC motors. </w:t>
      </w:r>
      <w:r w:rsidR="00EC1653">
        <w:t xml:space="preserve">Therefore, we would not expect that the proposed standards would require significant product re-design. </w:t>
      </w:r>
      <w:r w:rsidR="0068418C">
        <w:t>In addition, DOE concluded that the proposed standards would not require any capital conversion costs since no new tooling or equipment would be necessary.</w:t>
      </w:r>
      <w:r w:rsidR="0068418C">
        <w:rPr>
          <w:rStyle w:val="FootnoteReference"/>
        </w:rPr>
        <w:footnoteReference w:id="15"/>
      </w:r>
      <w:r w:rsidR="0068418C">
        <w:t xml:space="preserve"> </w:t>
      </w:r>
      <w:r w:rsidR="009670E4">
        <w:t>We encourage DOE to adopt a 3-year compliance date</w:t>
      </w:r>
      <w:r w:rsidR="002F6A7C">
        <w:t>, which is typical for DOE rulemakings,</w:t>
      </w:r>
      <w:r w:rsidR="009670E4">
        <w:t xml:space="preserve"> since 3 years appears to be feasible for manufacturers and </w:t>
      </w:r>
      <w:r w:rsidR="00811CAD">
        <w:t xml:space="preserve">would yield greater national </w:t>
      </w:r>
      <w:r w:rsidR="009670E4">
        <w:t>energy savings.</w:t>
      </w:r>
    </w:p>
    <w:p w14:paraId="3C8D5279" w14:textId="77777777" w:rsidR="00597725" w:rsidRDefault="00597725" w:rsidP="00061B8C"/>
    <w:p w14:paraId="14A1BF81" w14:textId="77777777" w:rsidR="00FD24A0" w:rsidRDefault="00FD24A0" w:rsidP="00FD24A0">
      <w:r>
        <w:t>Thank you for considering these comments.</w:t>
      </w:r>
    </w:p>
    <w:p w14:paraId="1C3C7FA6" w14:textId="77777777" w:rsidR="00FD24A0" w:rsidRDefault="00FD24A0" w:rsidP="00FD24A0"/>
    <w:p w14:paraId="57F9B73B" w14:textId="77777777" w:rsidR="00FD24A0" w:rsidRDefault="00FD24A0" w:rsidP="00FD24A0">
      <w:r>
        <w:t>Sincerely,</w:t>
      </w:r>
    </w:p>
    <w:p w14:paraId="21F7278E" w14:textId="77777777" w:rsidR="00F70573" w:rsidRDefault="00F70573" w:rsidP="00FD24A0"/>
    <w:sectPr w:rsidR="00F70573" w:rsidSect="00F00ABF">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7DE93" w14:textId="77777777" w:rsidR="00C16F32" w:rsidRDefault="00C16F32" w:rsidP="00F40DB7">
      <w:r>
        <w:separator/>
      </w:r>
    </w:p>
  </w:endnote>
  <w:endnote w:type="continuationSeparator" w:id="0">
    <w:p w14:paraId="43FF1687" w14:textId="77777777" w:rsidR="00C16F32" w:rsidRDefault="00C16F32" w:rsidP="00F4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841488"/>
      <w:docPartObj>
        <w:docPartGallery w:val="Page Numbers (Bottom of Page)"/>
        <w:docPartUnique/>
      </w:docPartObj>
    </w:sdtPr>
    <w:sdtEndPr>
      <w:rPr>
        <w:noProof/>
      </w:rPr>
    </w:sdtEndPr>
    <w:sdtContent>
      <w:p w14:paraId="2D8F6B81" w14:textId="77777777" w:rsidR="00AD7BB7" w:rsidRDefault="00AD7BB7">
        <w:pPr>
          <w:pStyle w:val="Footer"/>
          <w:jc w:val="center"/>
        </w:pPr>
        <w:r>
          <w:fldChar w:fldCharType="begin"/>
        </w:r>
        <w:r>
          <w:instrText xml:space="preserve"> PAGE   \* MERGEFORMAT </w:instrText>
        </w:r>
        <w:r>
          <w:fldChar w:fldCharType="separate"/>
        </w:r>
        <w:r w:rsidR="000811A7">
          <w:rPr>
            <w:noProof/>
          </w:rPr>
          <w:t>4</w:t>
        </w:r>
        <w:r>
          <w:rPr>
            <w:noProof/>
          </w:rPr>
          <w:fldChar w:fldCharType="end"/>
        </w:r>
      </w:p>
    </w:sdtContent>
  </w:sdt>
  <w:p w14:paraId="721BFF03" w14:textId="77777777" w:rsidR="00AD7BB7" w:rsidRDefault="00AD7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8BDAC" w14:textId="77777777" w:rsidR="00C16F32" w:rsidRDefault="00C16F32" w:rsidP="00F40DB7">
      <w:r>
        <w:separator/>
      </w:r>
    </w:p>
  </w:footnote>
  <w:footnote w:type="continuationSeparator" w:id="0">
    <w:p w14:paraId="0F930928" w14:textId="77777777" w:rsidR="00C16F32" w:rsidRDefault="00C16F32" w:rsidP="00F40DB7">
      <w:r>
        <w:continuationSeparator/>
      </w:r>
    </w:p>
  </w:footnote>
  <w:footnote w:id="1">
    <w:p w14:paraId="3062781E" w14:textId="77777777" w:rsidR="002F6A7C" w:rsidRDefault="002F6A7C">
      <w:pPr>
        <w:pStyle w:val="FootnoteText"/>
      </w:pPr>
      <w:r>
        <w:rPr>
          <w:rStyle w:val="FootnoteReference"/>
        </w:rPr>
        <w:footnoteRef/>
      </w:r>
      <w:r>
        <w:t xml:space="preserve"> The NOPR proposes standards based on constant-torque BPM motors and multi-stage/modulating controls for </w:t>
      </w:r>
      <w:r w:rsidR="003644AC">
        <w:t>non-weatherized non-condensing, non-weatherized condensing, and weatherized non-condensing gas furnaces, electric furnaces/modular blowers, and manufactured home electric furnaces/modular blowers.</w:t>
      </w:r>
    </w:p>
  </w:footnote>
  <w:footnote w:id="2">
    <w:p w14:paraId="4CA6DA42" w14:textId="77777777" w:rsidR="00F56D02" w:rsidRDefault="00F56D02">
      <w:pPr>
        <w:pStyle w:val="FootnoteText"/>
      </w:pPr>
      <w:r>
        <w:rPr>
          <w:rStyle w:val="FootnoteReference"/>
        </w:rPr>
        <w:footnoteRef/>
      </w:r>
      <w:r>
        <w:t xml:space="preserve"> </w:t>
      </w:r>
      <w:proofErr w:type="gramStart"/>
      <w:r>
        <w:t>Technical Support Document.</w:t>
      </w:r>
      <w:proofErr w:type="gramEnd"/>
      <w:r>
        <w:t xml:space="preserve"> </w:t>
      </w:r>
      <w:proofErr w:type="gramStart"/>
      <w:r>
        <w:t>Tables 7.8.1, 7.8.2, 7.8.3, 7.8.4.</w:t>
      </w:r>
      <w:proofErr w:type="gramEnd"/>
    </w:p>
  </w:footnote>
  <w:footnote w:id="3">
    <w:p w14:paraId="380FFB21" w14:textId="77777777" w:rsidR="00FE4DAC" w:rsidRDefault="00FE4DAC">
      <w:pPr>
        <w:pStyle w:val="FootnoteText"/>
      </w:pPr>
      <w:r>
        <w:rPr>
          <w:rStyle w:val="FootnoteReference"/>
        </w:rPr>
        <w:footnoteRef/>
      </w:r>
      <w:r>
        <w:t xml:space="preserve"> </w:t>
      </w:r>
      <w:proofErr w:type="gramStart"/>
      <w:r>
        <w:t>78 Fed.</w:t>
      </w:r>
      <w:proofErr w:type="gramEnd"/>
      <w:r>
        <w:t xml:space="preserve"> </w:t>
      </w:r>
      <w:proofErr w:type="gramStart"/>
      <w:r>
        <w:t>Reg. 64070.</w:t>
      </w:r>
      <w:proofErr w:type="gramEnd"/>
    </w:p>
  </w:footnote>
  <w:footnote w:id="4">
    <w:p w14:paraId="58220311" w14:textId="77777777" w:rsidR="00C62AE9" w:rsidRDefault="00C62AE9" w:rsidP="00BD2A49">
      <w:pPr>
        <w:pStyle w:val="FootnoteText"/>
      </w:pPr>
      <w:r>
        <w:rPr>
          <w:rStyle w:val="FootnoteReference"/>
        </w:rPr>
        <w:footnoteRef/>
      </w:r>
      <w:r>
        <w:t xml:space="preserve"> </w:t>
      </w:r>
      <w:proofErr w:type="gramStart"/>
      <w:r w:rsidR="00FE4DAC">
        <w:t>Technical Support Document</w:t>
      </w:r>
      <w:r>
        <w:t>.</w:t>
      </w:r>
      <w:proofErr w:type="gramEnd"/>
      <w:r>
        <w:t xml:space="preserve"> p. 3-3.</w:t>
      </w:r>
    </w:p>
  </w:footnote>
  <w:footnote w:id="5">
    <w:p w14:paraId="2BDC9A77" w14:textId="77777777" w:rsidR="00BD2A49" w:rsidRDefault="00BD2A49" w:rsidP="002D53AB">
      <w:pPr>
        <w:shd w:val="clear" w:color="auto" w:fill="FFFFFF"/>
        <w:ind w:right="115"/>
      </w:pPr>
      <w:r w:rsidRPr="00BD2A49">
        <w:rPr>
          <w:rStyle w:val="FootnoteReference"/>
          <w:sz w:val="20"/>
          <w:szCs w:val="20"/>
        </w:rPr>
        <w:footnoteRef/>
      </w:r>
      <w:r w:rsidRPr="00BD2A49">
        <w:rPr>
          <w:sz w:val="20"/>
          <w:szCs w:val="20"/>
        </w:rPr>
        <w:t xml:space="preserve"> Comment ID: EERE-2010-BT-STD-0011-0055</w:t>
      </w:r>
      <w:r>
        <w:rPr>
          <w:sz w:val="20"/>
          <w:szCs w:val="20"/>
        </w:rPr>
        <w:t>.</w:t>
      </w:r>
    </w:p>
  </w:footnote>
  <w:footnote w:id="6">
    <w:p w14:paraId="491E814D" w14:textId="77777777" w:rsidR="00F03AC2" w:rsidRDefault="00F03AC2">
      <w:pPr>
        <w:pStyle w:val="FootnoteText"/>
      </w:pPr>
      <w:r>
        <w:rPr>
          <w:rStyle w:val="FootnoteReference"/>
        </w:rPr>
        <w:footnoteRef/>
      </w:r>
      <w:r>
        <w:t xml:space="preserve"> </w:t>
      </w:r>
      <w:proofErr w:type="gramStart"/>
      <w:r>
        <w:t>Technical Support Document.</w:t>
      </w:r>
      <w:proofErr w:type="gramEnd"/>
      <w:r>
        <w:t xml:space="preserve"> p. 8-D-4.</w:t>
      </w:r>
    </w:p>
  </w:footnote>
  <w:footnote w:id="7">
    <w:p w14:paraId="3253380C" w14:textId="77777777" w:rsidR="002D53AB" w:rsidRDefault="002D53AB">
      <w:pPr>
        <w:pStyle w:val="FootnoteText"/>
      </w:pPr>
      <w:r>
        <w:rPr>
          <w:rStyle w:val="FootnoteReference"/>
        </w:rPr>
        <w:footnoteRef/>
      </w:r>
      <w:r>
        <w:t xml:space="preserve"> </w:t>
      </w:r>
      <w:proofErr w:type="gramStart"/>
      <w:r w:rsidR="002B5031">
        <w:t>NOPR Public Meeting Presentation.</w:t>
      </w:r>
      <w:proofErr w:type="gramEnd"/>
      <w:r w:rsidR="002B5031">
        <w:t xml:space="preserve"> </w:t>
      </w:r>
      <w:proofErr w:type="gramStart"/>
      <w:r w:rsidR="002B5031">
        <w:t>p. 58.</w:t>
      </w:r>
      <w:proofErr w:type="gramEnd"/>
    </w:p>
  </w:footnote>
  <w:footnote w:id="8">
    <w:p w14:paraId="3D99EC5E" w14:textId="77777777" w:rsidR="002B5031" w:rsidRDefault="002B5031">
      <w:pPr>
        <w:pStyle w:val="FootnoteText"/>
      </w:pPr>
      <w:r>
        <w:rPr>
          <w:rStyle w:val="FootnoteReference"/>
        </w:rPr>
        <w:footnoteRef/>
      </w:r>
      <w:r>
        <w:t xml:space="preserve"> </w:t>
      </w:r>
      <w:proofErr w:type="gramStart"/>
      <w:r>
        <w:t>78 Fed.</w:t>
      </w:r>
      <w:proofErr w:type="gramEnd"/>
      <w:r>
        <w:t xml:space="preserve"> </w:t>
      </w:r>
      <w:proofErr w:type="gramStart"/>
      <w:r>
        <w:t>Reg. 64094.</w:t>
      </w:r>
      <w:proofErr w:type="gramEnd"/>
    </w:p>
  </w:footnote>
  <w:footnote w:id="9">
    <w:p w14:paraId="550D9AFA" w14:textId="77777777" w:rsidR="00F87E30" w:rsidRDefault="00F87E30">
      <w:pPr>
        <w:pStyle w:val="FootnoteText"/>
      </w:pPr>
      <w:r>
        <w:rPr>
          <w:rStyle w:val="FootnoteReference"/>
        </w:rPr>
        <w:footnoteRef/>
      </w:r>
      <w:r>
        <w:t xml:space="preserve"> </w:t>
      </w:r>
      <w:proofErr w:type="gramStart"/>
      <w:r>
        <w:t>NOPR Public Meeting Presentation.</w:t>
      </w:r>
      <w:proofErr w:type="gramEnd"/>
      <w:r>
        <w:t xml:space="preserve"> </w:t>
      </w:r>
      <w:proofErr w:type="gramStart"/>
      <w:r>
        <w:t>p. 58.</w:t>
      </w:r>
      <w:proofErr w:type="gramEnd"/>
    </w:p>
  </w:footnote>
  <w:footnote w:id="10">
    <w:p w14:paraId="05FF57F1" w14:textId="77777777" w:rsidR="006061F5" w:rsidRDefault="006061F5">
      <w:pPr>
        <w:pStyle w:val="FootnoteText"/>
      </w:pPr>
      <w:r>
        <w:rPr>
          <w:rStyle w:val="FootnoteReference"/>
        </w:rPr>
        <w:footnoteRef/>
      </w:r>
      <w:r>
        <w:t xml:space="preserve"> </w:t>
      </w:r>
      <w:proofErr w:type="gramStart"/>
      <w:r>
        <w:t>Technical Support Document.</w:t>
      </w:r>
      <w:proofErr w:type="gramEnd"/>
      <w:r>
        <w:t xml:space="preserve"> </w:t>
      </w:r>
      <w:proofErr w:type="gramStart"/>
      <w:r>
        <w:t>Table 8-H.3.4.</w:t>
      </w:r>
      <w:proofErr w:type="gramEnd"/>
    </w:p>
  </w:footnote>
  <w:footnote w:id="11">
    <w:p w14:paraId="2FDD7A57" w14:textId="77777777" w:rsidR="003418E8" w:rsidRPr="003418E8" w:rsidRDefault="003418E8">
      <w:pPr>
        <w:pStyle w:val="FootnoteText"/>
      </w:pPr>
      <w:r>
        <w:rPr>
          <w:rStyle w:val="FootnoteReference"/>
        </w:rPr>
        <w:footnoteRef/>
      </w:r>
      <w:r>
        <w:t xml:space="preserve"> </w:t>
      </w:r>
      <w:proofErr w:type="gramStart"/>
      <w:r>
        <w:rPr>
          <w:i/>
        </w:rPr>
        <w:t>Ibid</w:t>
      </w:r>
      <w:r>
        <w:t>. p. 12-17.</w:t>
      </w:r>
      <w:proofErr w:type="gramEnd"/>
    </w:p>
  </w:footnote>
  <w:footnote w:id="12">
    <w:p w14:paraId="5EAB2183" w14:textId="6F66F984" w:rsidR="00047663" w:rsidRDefault="00047663" w:rsidP="00047663">
      <w:pPr>
        <w:pStyle w:val="FootnoteText"/>
      </w:pPr>
      <w:r>
        <w:rPr>
          <w:rStyle w:val="FootnoteReference"/>
        </w:rPr>
        <w:footnoteRef/>
      </w:r>
      <w:r>
        <w:t xml:space="preserve"> See, for example: </w:t>
      </w:r>
      <w:hyperlink r:id="rId1" w:history="1">
        <w:r w:rsidR="00723AFB">
          <w:rPr>
            <w:rStyle w:val="Hyperlink"/>
          </w:rPr>
          <w:t>http://www.usmotors.com/Our-Products/Catalogs-And-Literature/Literature/~/media/USMotors/Documents/Literature/Products/Training_RescueEcoTech.ashx</w:t>
        </w:r>
      </w:hyperlink>
      <w:r>
        <w:t>.</w:t>
      </w:r>
    </w:p>
  </w:footnote>
  <w:footnote w:id="13">
    <w:p w14:paraId="66318A7C" w14:textId="77777777" w:rsidR="00047663" w:rsidRDefault="00047663">
      <w:pPr>
        <w:pStyle w:val="FootnoteText"/>
      </w:pPr>
      <w:r>
        <w:rPr>
          <w:rStyle w:val="FootnoteReference"/>
        </w:rPr>
        <w:footnoteRef/>
      </w:r>
      <w:r>
        <w:t xml:space="preserve"> </w:t>
      </w:r>
      <w:proofErr w:type="gramStart"/>
      <w:r>
        <w:t>Technical Support Document.</w:t>
      </w:r>
      <w:proofErr w:type="gramEnd"/>
      <w:r>
        <w:t xml:space="preserve"> </w:t>
      </w:r>
      <w:proofErr w:type="gramStart"/>
      <w:r>
        <w:t>Tables 8.4.1, 8.4.3.</w:t>
      </w:r>
      <w:proofErr w:type="gramEnd"/>
    </w:p>
  </w:footnote>
  <w:footnote w:id="14">
    <w:p w14:paraId="159AA678" w14:textId="77777777" w:rsidR="00EC1653" w:rsidRDefault="00EC1653">
      <w:pPr>
        <w:pStyle w:val="FootnoteText"/>
      </w:pPr>
      <w:r>
        <w:rPr>
          <w:rStyle w:val="FootnoteReference"/>
        </w:rPr>
        <w:footnoteRef/>
      </w:r>
      <w:r>
        <w:t xml:space="preserve"> </w:t>
      </w:r>
      <w:proofErr w:type="gramStart"/>
      <w:r w:rsidR="0068418C">
        <w:rPr>
          <w:i/>
        </w:rPr>
        <w:t>Ibid</w:t>
      </w:r>
      <w:r>
        <w:t>. p. 3-28.</w:t>
      </w:r>
      <w:proofErr w:type="gramEnd"/>
    </w:p>
  </w:footnote>
  <w:footnote w:id="15">
    <w:p w14:paraId="68F100E3" w14:textId="77777777" w:rsidR="0068418C" w:rsidRDefault="0068418C">
      <w:pPr>
        <w:pStyle w:val="FootnoteText"/>
      </w:pPr>
      <w:r>
        <w:rPr>
          <w:rStyle w:val="FootnoteReference"/>
        </w:rPr>
        <w:footnoteRef/>
      </w:r>
      <w:r>
        <w:t xml:space="preserve"> </w:t>
      </w:r>
      <w:r>
        <w:rPr>
          <w:i/>
        </w:rPr>
        <w:t>Ibid</w:t>
      </w:r>
      <w:r>
        <w:t>. p. 12-16.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93AF3"/>
    <w:multiLevelType w:val="hybridMultilevel"/>
    <w:tmpl w:val="BAACCDF6"/>
    <w:lvl w:ilvl="0" w:tplc="B0509124">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E95CB2"/>
    <w:multiLevelType w:val="hybridMultilevel"/>
    <w:tmpl w:val="D0EA28E0"/>
    <w:lvl w:ilvl="0" w:tplc="03507A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016239"/>
    <w:multiLevelType w:val="multilevel"/>
    <w:tmpl w:val="E26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DD"/>
    <w:rsid w:val="00002A05"/>
    <w:rsid w:val="00014072"/>
    <w:rsid w:val="000272AC"/>
    <w:rsid w:val="00047663"/>
    <w:rsid w:val="00055E35"/>
    <w:rsid w:val="00061B8C"/>
    <w:rsid w:val="00062F74"/>
    <w:rsid w:val="000811A7"/>
    <w:rsid w:val="0009096C"/>
    <w:rsid w:val="00097139"/>
    <w:rsid w:val="000D1752"/>
    <w:rsid w:val="000D4415"/>
    <w:rsid w:val="000E674E"/>
    <w:rsid w:val="00103AD6"/>
    <w:rsid w:val="001054DA"/>
    <w:rsid w:val="00140017"/>
    <w:rsid w:val="00155150"/>
    <w:rsid w:val="00161C28"/>
    <w:rsid w:val="00193AA5"/>
    <w:rsid w:val="001943CC"/>
    <w:rsid w:val="001C2557"/>
    <w:rsid w:val="001E2AE7"/>
    <w:rsid w:val="001F588D"/>
    <w:rsid w:val="00200023"/>
    <w:rsid w:val="002137D9"/>
    <w:rsid w:val="002251DC"/>
    <w:rsid w:val="00233439"/>
    <w:rsid w:val="0024275D"/>
    <w:rsid w:val="002465AC"/>
    <w:rsid w:val="00256AA9"/>
    <w:rsid w:val="00262955"/>
    <w:rsid w:val="002B5031"/>
    <w:rsid w:val="002B63D5"/>
    <w:rsid w:val="002B6C23"/>
    <w:rsid w:val="002D39A4"/>
    <w:rsid w:val="002D53AB"/>
    <w:rsid w:val="002F6A7C"/>
    <w:rsid w:val="00332585"/>
    <w:rsid w:val="003418E8"/>
    <w:rsid w:val="00361B59"/>
    <w:rsid w:val="003644AC"/>
    <w:rsid w:val="003660E2"/>
    <w:rsid w:val="0037089C"/>
    <w:rsid w:val="00372A8D"/>
    <w:rsid w:val="00374254"/>
    <w:rsid w:val="00387CD6"/>
    <w:rsid w:val="003B76CA"/>
    <w:rsid w:val="003C032A"/>
    <w:rsid w:val="003E2FEF"/>
    <w:rsid w:val="003E39A0"/>
    <w:rsid w:val="004052F8"/>
    <w:rsid w:val="00414178"/>
    <w:rsid w:val="00422585"/>
    <w:rsid w:val="0042643B"/>
    <w:rsid w:val="00426E6F"/>
    <w:rsid w:val="00447DF3"/>
    <w:rsid w:val="00470E61"/>
    <w:rsid w:val="00494664"/>
    <w:rsid w:val="004F765B"/>
    <w:rsid w:val="00511270"/>
    <w:rsid w:val="005260C6"/>
    <w:rsid w:val="00545F40"/>
    <w:rsid w:val="00557CB7"/>
    <w:rsid w:val="00582021"/>
    <w:rsid w:val="00597725"/>
    <w:rsid w:val="005A29A8"/>
    <w:rsid w:val="005D3645"/>
    <w:rsid w:val="005F6868"/>
    <w:rsid w:val="006061F5"/>
    <w:rsid w:val="00621989"/>
    <w:rsid w:val="00663A62"/>
    <w:rsid w:val="00667BD2"/>
    <w:rsid w:val="0068418C"/>
    <w:rsid w:val="006B4BEE"/>
    <w:rsid w:val="006C1B48"/>
    <w:rsid w:val="006E521C"/>
    <w:rsid w:val="006F17F3"/>
    <w:rsid w:val="00723AFB"/>
    <w:rsid w:val="007535C7"/>
    <w:rsid w:val="0076614F"/>
    <w:rsid w:val="00772AB4"/>
    <w:rsid w:val="00784B04"/>
    <w:rsid w:val="007A1550"/>
    <w:rsid w:val="007A6DA6"/>
    <w:rsid w:val="007B48E5"/>
    <w:rsid w:val="007C515B"/>
    <w:rsid w:val="007D2295"/>
    <w:rsid w:val="007F71BB"/>
    <w:rsid w:val="00811CAD"/>
    <w:rsid w:val="00821216"/>
    <w:rsid w:val="00837956"/>
    <w:rsid w:val="00845C38"/>
    <w:rsid w:val="00846FA3"/>
    <w:rsid w:val="008574EF"/>
    <w:rsid w:val="008725D7"/>
    <w:rsid w:val="00877FF7"/>
    <w:rsid w:val="00886EA6"/>
    <w:rsid w:val="008947F8"/>
    <w:rsid w:val="00895013"/>
    <w:rsid w:val="008A3B8D"/>
    <w:rsid w:val="008B1A26"/>
    <w:rsid w:val="008D130C"/>
    <w:rsid w:val="008D5B95"/>
    <w:rsid w:val="008E4CA2"/>
    <w:rsid w:val="008F14C9"/>
    <w:rsid w:val="008F79DD"/>
    <w:rsid w:val="00906693"/>
    <w:rsid w:val="0092238D"/>
    <w:rsid w:val="009234FC"/>
    <w:rsid w:val="00926C3A"/>
    <w:rsid w:val="009615A7"/>
    <w:rsid w:val="009670E4"/>
    <w:rsid w:val="00967F5B"/>
    <w:rsid w:val="0097791E"/>
    <w:rsid w:val="009864D7"/>
    <w:rsid w:val="0099144E"/>
    <w:rsid w:val="009B36D8"/>
    <w:rsid w:val="009C2C04"/>
    <w:rsid w:val="009F649B"/>
    <w:rsid w:val="00A247E7"/>
    <w:rsid w:val="00A25AAF"/>
    <w:rsid w:val="00A436F9"/>
    <w:rsid w:val="00A7200A"/>
    <w:rsid w:val="00A74A4D"/>
    <w:rsid w:val="00A80411"/>
    <w:rsid w:val="00A92C21"/>
    <w:rsid w:val="00AB0688"/>
    <w:rsid w:val="00AB6804"/>
    <w:rsid w:val="00AC6EDA"/>
    <w:rsid w:val="00AD05B4"/>
    <w:rsid w:val="00AD22AF"/>
    <w:rsid w:val="00AD7BB7"/>
    <w:rsid w:val="00AF1E3B"/>
    <w:rsid w:val="00B00128"/>
    <w:rsid w:val="00B04EED"/>
    <w:rsid w:val="00B46DEC"/>
    <w:rsid w:val="00B54F65"/>
    <w:rsid w:val="00B62D3E"/>
    <w:rsid w:val="00B83837"/>
    <w:rsid w:val="00B85140"/>
    <w:rsid w:val="00B86696"/>
    <w:rsid w:val="00BC28AE"/>
    <w:rsid w:val="00BC31AE"/>
    <w:rsid w:val="00BD2A49"/>
    <w:rsid w:val="00BD43AD"/>
    <w:rsid w:val="00C05875"/>
    <w:rsid w:val="00C06777"/>
    <w:rsid w:val="00C16F32"/>
    <w:rsid w:val="00C26BB4"/>
    <w:rsid w:val="00C27469"/>
    <w:rsid w:val="00C50F12"/>
    <w:rsid w:val="00C62AE9"/>
    <w:rsid w:val="00C62FC8"/>
    <w:rsid w:val="00C6632C"/>
    <w:rsid w:val="00C7333B"/>
    <w:rsid w:val="00C76481"/>
    <w:rsid w:val="00C932AD"/>
    <w:rsid w:val="00CA4248"/>
    <w:rsid w:val="00CB15C0"/>
    <w:rsid w:val="00CC260E"/>
    <w:rsid w:val="00CE13FD"/>
    <w:rsid w:val="00CE5F19"/>
    <w:rsid w:val="00D051FE"/>
    <w:rsid w:val="00D215C5"/>
    <w:rsid w:val="00D2278C"/>
    <w:rsid w:val="00D23B72"/>
    <w:rsid w:val="00D34658"/>
    <w:rsid w:val="00D46AE0"/>
    <w:rsid w:val="00D51A0E"/>
    <w:rsid w:val="00D61777"/>
    <w:rsid w:val="00D73620"/>
    <w:rsid w:val="00D80335"/>
    <w:rsid w:val="00D85DC7"/>
    <w:rsid w:val="00D863B5"/>
    <w:rsid w:val="00D9444F"/>
    <w:rsid w:val="00DA47FD"/>
    <w:rsid w:val="00DB0261"/>
    <w:rsid w:val="00DC579F"/>
    <w:rsid w:val="00DF1D89"/>
    <w:rsid w:val="00E21B0D"/>
    <w:rsid w:val="00E25B14"/>
    <w:rsid w:val="00E31A0C"/>
    <w:rsid w:val="00E727DD"/>
    <w:rsid w:val="00E73C4B"/>
    <w:rsid w:val="00E83A6E"/>
    <w:rsid w:val="00EA08AD"/>
    <w:rsid w:val="00EA1887"/>
    <w:rsid w:val="00EC1653"/>
    <w:rsid w:val="00EF1677"/>
    <w:rsid w:val="00F00ABF"/>
    <w:rsid w:val="00F03AC2"/>
    <w:rsid w:val="00F26EF2"/>
    <w:rsid w:val="00F34AEA"/>
    <w:rsid w:val="00F37803"/>
    <w:rsid w:val="00F37D59"/>
    <w:rsid w:val="00F40DB7"/>
    <w:rsid w:val="00F44AA4"/>
    <w:rsid w:val="00F56D02"/>
    <w:rsid w:val="00F62C43"/>
    <w:rsid w:val="00F70573"/>
    <w:rsid w:val="00F83975"/>
    <w:rsid w:val="00F87E30"/>
    <w:rsid w:val="00F97B55"/>
    <w:rsid w:val="00FB5DC8"/>
    <w:rsid w:val="00FC2748"/>
    <w:rsid w:val="00FD1496"/>
    <w:rsid w:val="00FD24A0"/>
    <w:rsid w:val="00FE2F9A"/>
    <w:rsid w:val="00FE4DAC"/>
    <w:rsid w:val="00FE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EA2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35"/>
    <w:pPr>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9DD"/>
    <w:pPr>
      <w:ind w:left="720"/>
      <w:contextualSpacing/>
      <w:jc w:val="center"/>
    </w:pPr>
    <w:rPr>
      <w:rFonts w:eastAsiaTheme="minorHAnsi"/>
    </w:rPr>
  </w:style>
  <w:style w:type="character" w:styleId="Strong">
    <w:name w:val="Strong"/>
    <w:basedOn w:val="DefaultParagraphFont"/>
    <w:qFormat/>
    <w:rsid w:val="00055E35"/>
    <w:rPr>
      <w:b/>
      <w:bCs/>
    </w:rPr>
  </w:style>
  <w:style w:type="character" w:styleId="Hyperlink">
    <w:name w:val="Hyperlink"/>
    <w:basedOn w:val="DefaultParagraphFont"/>
    <w:uiPriority w:val="99"/>
    <w:semiHidden/>
    <w:unhideWhenUsed/>
    <w:rsid w:val="00AD22AF"/>
    <w:rPr>
      <w:color w:val="0000FF"/>
      <w:u w:val="single"/>
    </w:rPr>
  </w:style>
  <w:style w:type="paragraph" w:styleId="FootnoteText">
    <w:name w:val="footnote text"/>
    <w:basedOn w:val="Normal"/>
    <w:link w:val="FootnoteTextChar"/>
    <w:uiPriority w:val="99"/>
    <w:semiHidden/>
    <w:unhideWhenUsed/>
    <w:rsid w:val="00F40DB7"/>
    <w:rPr>
      <w:sz w:val="20"/>
      <w:szCs w:val="20"/>
    </w:rPr>
  </w:style>
  <w:style w:type="character" w:customStyle="1" w:styleId="FootnoteTextChar">
    <w:name w:val="Footnote Text Char"/>
    <w:basedOn w:val="DefaultParagraphFont"/>
    <w:link w:val="FootnoteText"/>
    <w:uiPriority w:val="99"/>
    <w:semiHidden/>
    <w:rsid w:val="00F40DB7"/>
    <w:rPr>
      <w:rFonts w:eastAsia="Times New Roman"/>
      <w:sz w:val="20"/>
      <w:szCs w:val="20"/>
    </w:rPr>
  </w:style>
  <w:style w:type="character" w:styleId="FootnoteReference">
    <w:name w:val="footnote reference"/>
    <w:basedOn w:val="DefaultParagraphFont"/>
    <w:uiPriority w:val="99"/>
    <w:semiHidden/>
    <w:unhideWhenUsed/>
    <w:rsid w:val="00F40DB7"/>
    <w:rPr>
      <w:vertAlign w:val="superscript"/>
    </w:rPr>
  </w:style>
  <w:style w:type="paragraph" w:styleId="Header">
    <w:name w:val="header"/>
    <w:basedOn w:val="Normal"/>
    <w:link w:val="HeaderChar"/>
    <w:uiPriority w:val="99"/>
    <w:unhideWhenUsed/>
    <w:rsid w:val="00F00ABF"/>
    <w:pPr>
      <w:tabs>
        <w:tab w:val="center" w:pos="4680"/>
        <w:tab w:val="right" w:pos="9360"/>
      </w:tabs>
    </w:pPr>
  </w:style>
  <w:style w:type="character" w:customStyle="1" w:styleId="HeaderChar">
    <w:name w:val="Header Char"/>
    <w:basedOn w:val="DefaultParagraphFont"/>
    <w:link w:val="Header"/>
    <w:uiPriority w:val="99"/>
    <w:rsid w:val="00F00ABF"/>
    <w:rPr>
      <w:rFonts w:eastAsia="Times New Roman"/>
    </w:rPr>
  </w:style>
  <w:style w:type="paragraph" w:styleId="Footer">
    <w:name w:val="footer"/>
    <w:basedOn w:val="Normal"/>
    <w:link w:val="FooterChar"/>
    <w:uiPriority w:val="99"/>
    <w:unhideWhenUsed/>
    <w:rsid w:val="00F00ABF"/>
    <w:pPr>
      <w:tabs>
        <w:tab w:val="center" w:pos="4680"/>
        <w:tab w:val="right" w:pos="9360"/>
      </w:tabs>
    </w:pPr>
  </w:style>
  <w:style w:type="character" w:customStyle="1" w:styleId="FooterChar">
    <w:name w:val="Footer Char"/>
    <w:basedOn w:val="DefaultParagraphFont"/>
    <w:link w:val="Footer"/>
    <w:uiPriority w:val="99"/>
    <w:rsid w:val="00F00ABF"/>
    <w:rPr>
      <w:rFonts w:eastAsia="Times New Roman"/>
    </w:rPr>
  </w:style>
  <w:style w:type="paragraph" w:styleId="BalloonText">
    <w:name w:val="Balloon Text"/>
    <w:basedOn w:val="Normal"/>
    <w:link w:val="BalloonTextChar"/>
    <w:uiPriority w:val="99"/>
    <w:semiHidden/>
    <w:unhideWhenUsed/>
    <w:rsid w:val="00B83837"/>
    <w:rPr>
      <w:rFonts w:ascii="Tahoma" w:hAnsi="Tahoma" w:cs="Tahoma"/>
      <w:sz w:val="16"/>
      <w:szCs w:val="16"/>
    </w:rPr>
  </w:style>
  <w:style w:type="character" w:customStyle="1" w:styleId="BalloonTextChar">
    <w:name w:val="Balloon Text Char"/>
    <w:basedOn w:val="DefaultParagraphFont"/>
    <w:link w:val="BalloonText"/>
    <w:uiPriority w:val="99"/>
    <w:semiHidden/>
    <w:rsid w:val="00B8383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11270"/>
    <w:rPr>
      <w:sz w:val="16"/>
      <w:szCs w:val="16"/>
    </w:rPr>
  </w:style>
  <w:style w:type="paragraph" w:styleId="CommentText">
    <w:name w:val="annotation text"/>
    <w:basedOn w:val="Normal"/>
    <w:link w:val="CommentTextChar"/>
    <w:uiPriority w:val="99"/>
    <w:semiHidden/>
    <w:unhideWhenUsed/>
    <w:rsid w:val="00511270"/>
    <w:rPr>
      <w:sz w:val="20"/>
      <w:szCs w:val="20"/>
    </w:rPr>
  </w:style>
  <w:style w:type="character" w:customStyle="1" w:styleId="CommentTextChar">
    <w:name w:val="Comment Text Char"/>
    <w:basedOn w:val="DefaultParagraphFont"/>
    <w:link w:val="CommentText"/>
    <w:uiPriority w:val="99"/>
    <w:semiHidden/>
    <w:rsid w:val="00511270"/>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511270"/>
    <w:rPr>
      <w:b/>
      <w:bCs/>
    </w:rPr>
  </w:style>
  <w:style w:type="character" w:customStyle="1" w:styleId="CommentSubjectChar">
    <w:name w:val="Comment Subject Char"/>
    <w:basedOn w:val="CommentTextChar"/>
    <w:link w:val="CommentSubject"/>
    <w:uiPriority w:val="99"/>
    <w:semiHidden/>
    <w:rsid w:val="00511270"/>
    <w:rPr>
      <w:rFonts w:eastAsia="Times New Roman"/>
      <w:b/>
      <w:bCs/>
      <w:sz w:val="20"/>
      <w:szCs w:val="20"/>
    </w:rPr>
  </w:style>
  <w:style w:type="paragraph" w:customStyle="1" w:styleId="Default">
    <w:name w:val="Default"/>
    <w:rsid w:val="00F70573"/>
    <w:pPr>
      <w:autoSpaceDE w:val="0"/>
      <w:autoSpaceDN w:val="0"/>
      <w:adjustRightInd w:val="0"/>
      <w:jc w:val="left"/>
    </w:pPr>
    <w:rPr>
      <w:rFonts w:ascii="Arial" w:eastAsia="Times New Roman"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35"/>
    <w:pPr>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9DD"/>
    <w:pPr>
      <w:ind w:left="720"/>
      <w:contextualSpacing/>
      <w:jc w:val="center"/>
    </w:pPr>
    <w:rPr>
      <w:rFonts w:eastAsiaTheme="minorHAnsi"/>
    </w:rPr>
  </w:style>
  <w:style w:type="character" w:styleId="Strong">
    <w:name w:val="Strong"/>
    <w:basedOn w:val="DefaultParagraphFont"/>
    <w:qFormat/>
    <w:rsid w:val="00055E35"/>
    <w:rPr>
      <w:b/>
      <w:bCs/>
    </w:rPr>
  </w:style>
  <w:style w:type="character" w:styleId="Hyperlink">
    <w:name w:val="Hyperlink"/>
    <w:basedOn w:val="DefaultParagraphFont"/>
    <w:uiPriority w:val="99"/>
    <w:semiHidden/>
    <w:unhideWhenUsed/>
    <w:rsid w:val="00AD22AF"/>
    <w:rPr>
      <w:color w:val="0000FF"/>
      <w:u w:val="single"/>
    </w:rPr>
  </w:style>
  <w:style w:type="paragraph" w:styleId="FootnoteText">
    <w:name w:val="footnote text"/>
    <w:basedOn w:val="Normal"/>
    <w:link w:val="FootnoteTextChar"/>
    <w:uiPriority w:val="99"/>
    <w:semiHidden/>
    <w:unhideWhenUsed/>
    <w:rsid w:val="00F40DB7"/>
    <w:rPr>
      <w:sz w:val="20"/>
      <w:szCs w:val="20"/>
    </w:rPr>
  </w:style>
  <w:style w:type="character" w:customStyle="1" w:styleId="FootnoteTextChar">
    <w:name w:val="Footnote Text Char"/>
    <w:basedOn w:val="DefaultParagraphFont"/>
    <w:link w:val="FootnoteText"/>
    <w:uiPriority w:val="99"/>
    <w:semiHidden/>
    <w:rsid w:val="00F40DB7"/>
    <w:rPr>
      <w:rFonts w:eastAsia="Times New Roman"/>
      <w:sz w:val="20"/>
      <w:szCs w:val="20"/>
    </w:rPr>
  </w:style>
  <w:style w:type="character" w:styleId="FootnoteReference">
    <w:name w:val="footnote reference"/>
    <w:basedOn w:val="DefaultParagraphFont"/>
    <w:uiPriority w:val="99"/>
    <w:semiHidden/>
    <w:unhideWhenUsed/>
    <w:rsid w:val="00F40DB7"/>
    <w:rPr>
      <w:vertAlign w:val="superscript"/>
    </w:rPr>
  </w:style>
  <w:style w:type="paragraph" w:styleId="Header">
    <w:name w:val="header"/>
    <w:basedOn w:val="Normal"/>
    <w:link w:val="HeaderChar"/>
    <w:uiPriority w:val="99"/>
    <w:unhideWhenUsed/>
    <w:rsid w:val="00F00ABF"/>
    <w:pPr>
      <w:tabs>
        <w:tab w:val="center" w:pos="4680"/>
        <w:tab w:val="right" w:pos="9360"/>
      </w:tabs>
    </w:pPr>
  </w:style>
  <w:style w:type="character" w:customStyle="1" w:styleId="HeaderChar">
    <w:name w:val="Header Char"/>
    <w:basedOn w:val="DefaultParagraphFont"/>
    <w:link w:val="Header"/>
    <w:uiPriority w:val="99"/>
    <w:rsid w:val="00F00ABF"/>
    <w:rPr>
      <w:rFonts w:eastAsia="Times New Roman"/>
    </w:rPr>
  </w:style>
  <w:style w:type="paragraph" w:styleId="Footer">
    <w:name w:val="footer"/>
    <w:basedOn w:val="Normal"/>
    <w:link w:val="FooterChar"/>
    <w:uiPriority w:val="99"/>
    <w:unhideWhenUsed/>
    <w:rsid w:val="00F00ABF"/>
    <w:pPr>
      <w:tabs>
        <w:tab w:val="center" w:pos="4680"/>
        <w:tab w:val="right" w:pos="9360"/>
      </w:tabs>
    </w:pPr>
  </w:style>
  <w:style w:type="character" w:customStyle="1" w:styleId="FooterChar">
    <w:name w:val="Footer Char"/>
    <w:basedOn w:val="DefaultParagraphFont"/>
    <w:link w:val="Footer"/>
    <w:uiPriority w:val="99"/>
    <w:rsid w:val="00F00ABF"/>
    <w:rPr>
      <w:rFonts w:eastAsia="Times New Roman"/>
    </w:rPr>
  </w:style>
  <w:style w:type="paragraph" w:styleId="BalloonText">
    <w:name w:val="Balloon Text"/>
    <w:basedOn w:val="Normal"/>
    <w:link w:val="BalloonTextChar"/>
    <w:uiPriority w:val="99"/>
    <w:semiHidden/>
    <w:unhideWhenUsed/>
    <w:rsid w:val="00B83837"/>
    <w:rPr>
      <w:rFonts w:ascii="Tahoma" w:hAnsi="Tahoma" w:cs="Tahoma"/>
      <w:sz w:val="16"/>
      <w:szCs w:val="16"/>
    </w:rPr>
  </w:style>
  <w:style w:type="character" w:customStyle="1" w:styleId="BalloonTextChar">
    <w:name w:val="Balloon Text Char"/>
    <w:basedOn w:val="DefaultParagraphFont"/>
    <w:link w:val="BalloonText"/>
    <w:uiPriority w:val="99"/>
    <w:semiHidden/>
    <w:rsid w:val="00B8383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11270"/>
    <w:rPr>
      <w:sz w:val="16"/>
      <w:szCs w:val="16"/>
    </w:rPr>
  </w:style>
  <w:style w:type="paragraph" w:styleId="CommentText">
    <w:name w:val="annotation text"/>
    <w:basedOn w:val="Normal"/>
    <w:link w:val="CommentTextChar"/>
    <w:uiPriority w:val="99"/>
    <w:semiHidden/>
    <w:unhideWhenUsed/>
    <w:rsid w:val="00511270"/>
    <w:rPr>
      <w:sz w:val="20"/>
      <w:szCs w:val="20"/>
    </w:rPr>
  </w:style>
  <w:style w:type="character" w:customStyle="1" w:styleId="CommentTextChar">
    <w:name w:val="Comment Text Char"/>
    <w:basedOn w:val="DefaultParagraphFont"/>
    <w:link w:val="CommentText"/>
    <w:uiPriority w:val="99"/>
    <w:semiHidden/>
    <w:rsid w:val="00511270"/>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511270"/>
    <w:rPr>
      <w:b/>
      <w:bCs/>
    </w:rPr>
  </w:style>
  <w:style w:type="character" w:customStyle="1" w:styleId="CommentSubjectChar">
    <w:name w:val="Comment Subject Char"/>
    <w:basedOn w:val="CommentTextChar"/>
    <w:link w:val="CommentSubject"/>
    <w:uiPriority w:val="99"/>
    <w:semiHidden/>
    <w:rsid w:val="00511270"/>
    <w:rPr>
      <w:rFonts w:eastAsia="Times New Roman"/>
      <w:b/>
      <w:bCs/>
      <w:sz w:val="20"/>
      <w:szCs w:val="20"/>
    </w:rPr>
  </w:style>
  <w:style w:type="paragraph" w:customStyle="1" w:styleId="Default">
    <w:name w:val="Default"/>
    <w:rsid w:val="00F70573"/>
    <w:pPr>
      <w:autoSpaceDE w:val="0"/>
      <w:autoSpaceDN w:val="0"/>
      <w:adjustRightInd w:val="0"/>
      <w:jc w:val="left"/>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8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usmotors.com/Our-Products/Catalogs-And-Literature/Literature/~/media/USMotors/Documents/Literature/Products/Training_RescueEcoTech.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686687-3185-400D-A657-A0E90CCCD080}"/>
</file>

<file path=customXml/itemProps2.xml><?xml version="1.0" encoding="utf-8"?>
<ds:datastoreItem xmlns:ds="http://schemas.openxmlformats.org/officeDocument/2006/customXml" ds:itemID="{C52B4127-9FD2-40D1-9792-950E84687FC0}"/>
</file>

<file path=customXml/itemProps3.xml><?xml version="1.0" encoding="utf-8"?>
<ds:datastoreItem xmlns:ds="http://schemas.openxmlformats.org/officeDocument/2006/customXml" ds:itemID="{CDB9C98A-8877-4C31-8448-599051F88338}"/>
</file>

<file path=customXml/itemProps4.xml><?xml version="1.0" encoding="utf-8"?>
<ds:datastoreItem xmlns:ds="http://schemas.openxmlformats.org/officeDocument/2006/customXml" ds:itemID="{1ABEF397-2FB9-4C90-883F-41CEA658E350}"/>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Pacific Gas &amp; Electric</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Mauer</dc:creator>
  <cp:lastModifiedBy>Marshall B. Hunt</cp:lastModifiedBy>
  <cp:revision>2</cp:revision>
  <cp:lastPrinted>2013-12-16T17:27:00Z</cp:lastPrinted>
  <dcterms:created xsi:type="dcterms:W3CDTF">2013-12-17T14:29:00Z</dcterms:created>
  <dcterms:modified xsi:type="dcterms:W3CDTF">2013-12-17T14:29:00Z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