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92" w:rsidRPr="00C0616B" w:rsidRDefault="00CC3592" w:rsidP="00CC3592">
      <w:pPr>
        <w:rPr>
          <w:rFonts w:ascii="Times New Roman" w:hAnsi="Times New Roman" w:cs="Times New Roman"/>
        </w:rPr>
      </w:pPr>
      <w:r w:rsidRPr="00C0616B">
        <w:rPr>
          <w:rFonts w:ascii="Times New Roman" w:hAnsi="Times New Roman" w:cs="Times New Roman"/>
        </w:rPr>
        <w:t>Status of Furnace Standards</w:t>
      </w:r>
    </w:p>
    <w:p w:rsidR="00CC3592" w:rsidRPr="00C0616B" w:rsidRDefault="00CC3592" w:rsidP="00CC3592">
      <w:pPr>
        <w:rPr>
          <w:rFonts w:ascii="Times New Roman" w:hAnsi="Times New Roman" w:cs="Times New Roman"/>
        </w:rPr>
      </w:pPr>
      <w:r w:rsidRPr="00C0616B">
        <w:rPr>
          <w:rFonts w:ascii="Times New Roman" w:hAnsi="Times New Roman" w:cs="Times New Roman"/>
        </w:rPr>
        <w:t>September 16, 2015</w:t>
      </w:r>
    </w:p>
    <w:p w:rsidR="00CC3592" w:rsidRPr="00C0616B" w:rsidRDefault="00CC3592" w:rsidP="00CC3592">
      <w:pPr>
        <w:rPr>
          <w:rFonts w:ascii="Times New Roman" w:hAnsi="Times New Roman" w:cs="Times New Roman"/>
        </w:rPr>
      </w:pPr>
      <w:r w:rsidRPr="00C0616B">
        <w:rPr>
          <w:rFonts w:ascii="Times New Roman" w:hAnsi="Times New Roman" w:cs="Times New Roman"/>
        </w:rPr>
        <w:t>Marshall Hunt</w:t>
      </w:r>
    </w:p>
    <w:p w:rsidR="00CC3592" w:rsidRPr="00C0616B" w:rsidRDefault="00CC3592" w:rsidP="00CC3592">
      <w:pPr>
        <w:rPr>
          <w:rFonts w:ascii="Times New Roman" w:hAnsi="Times New Roman" w:cs="Times New Roman"/>
        </w:rPr>
      </w:pPr>
      <w:hyperlink r:id="rId8" w:history="1">
        <w:r w:rsidRPr="00C0616B">
          <w:rPr>
            <w:rStyle w:val="Hyperlink"/>
            <w:rFonts w:ascii="Times New Roman" w:hAnsi="Times New Roman" w:cs="Times New Roman"/>
          </w:rPr>
          <w:t>mbh9@pge.com</w:t>
        </w:r>
      </w:hyperlink>
    </w:p>
    <w:p w:rsidR="00CC3592" w:rsidRPr="00C0616B" w:rsidRDefault="00CC3592" w:rsidP="00CC3592">
      <w:pPr>
        <w:rPr>
          <w:rFonts w:ascii="Times New Roman" w:hAnsi="Times New Roman" w:cs="Times New Roman"/>
        </w:rPr>
      </w:pPr>
    </w:p>
    <w:p w:rsidR="00CC3592" w:rsidRPr="00C0616B" w:rsidRDefault="00CC3592" w:rsidP="00CC3592">
      <w:pPr>
        <w:pStyle w:val="ListParagraph"/>
        <w:numPr>
          <w:ilvl w:val="0"/>
          <w:numId w:val="1"/>
        </w:numPr>
        <w:rPr>
          <w:rFonts w:ascii="Times New Roman" w:hAnsi="Times New Roman" w:cs="Times New Roman"/>
        </w:rPr>
      </w:pPr>
      <w:r w:rsidRPr="00C0616B">
        <w:rPr>
          <w:rFonts w:ascii="Times New Roman" w:hAnsi="Times New Roman" w:cs="Times New Roman"/>
        </w:rPr>
        <w:t>Congress forced DOE to consider the AGA/NRDC,ACEEE capacity based 2 Tier Standard</w:t>
      </w:r>
    </w:p>
    <w:p w:rsidR="00CC3592" w:rsidRPr="00C0616B" w:rsidRDefault="00CC3592" w:rsidP="00CC3592">
      <w:pPr>
        <w:pStyle w:val="ListParagraph"/>
        <w:numPr>
          <w:ilvl w:val="0"/>
          <w:numId w:val="1"/>
        </w:numPr>
        <w:rPr>
          <w:rFonts w:ascii="Times New Roman" w:hAnsi="Times New Roman" w:cs="Times New Roman"/>
        </w:rPr>
      </w:pPr>
      <w:r w:rsidRPr="00C0616B">
        <w:rPr>
          <w:rFonts w:ascii="Times New Roman" w:hAnsi="Times New Roman" w:cs="Times New Roman"/>
        </w:rPr>
        <w:t>It could have been worse since AGA started with wanting noncondensing and condensing furnaces as two different classes.</w:t>
      </w:r>
    </w:p>
    <w:p w:rsidR="00CC3592" w:rsidRPr="00C0616B" w:rsidRDefault="00CC3592" w:rsidP="00CC3592">
      <w:pPr>
        <w:pStyle w:val="ListParagraph"/>
        <w:numPr>
          <w:ilvl w:val="0"/>
          <w:numId w:val="1"/>
        </w:numPr>
        <w:rPr>
          <w:rFonts w:ascii="Times New Roman" w:hAnsi="Times New Roman" w:cs="Times New Roman"/>
        </w:rPr>
      </w:pPr>
      <w:r w:rsidRPr="00C0616B">
        <w:rPr>
          <w:rFonts w:ascii="Times New Roman" w:hAnsi="Times New Roman" w:cs="Times New Roman"/>
        </w:rPr>
        <w:t>The negotiations between AGA and NRDC were not completed in time for the comment letters in June.</w:t>
      </w:r>
    </w:p>
    <w:p w:rsidR="00CC3592" w:rsidRPr="00C0616B" w:rsidRDefault="00CC3592" w:rsidP="00CC3592">
      <w:pPr>
        <w:rPr>
          <w:rFonts w:ascii="Times New Roman" w:hAnsi="Times New Roman" w:cs="Times New Roman"/>
        </w:rPr>
      </w:pPr>
    </w:p>
    <w:p w:rsidR="00CC3592" w:rsidRPr="00C0616B" w:rsidRDefault="00CC3592" w:rsidP="00CC3592">
      <w:pPr>
        <w:pStyle w:val="ListParagraph"/>
        <w:numPr>
          <w:ilvl w:val="0"/>
          <w:numId w:val="1"/>
        </w:numPr>
        <w:rPr>
          <w:rFonts w:ascii="Times New Roman" w:hAnsi="Times New Roman" w:cs="Times New Roman"/>
        </w:rPr>
      </w:pPr>
      <w:r w:rsidRPr="00C0616B">
        <w:rPr>
          <w:rFonts w:ascii="Times New Roman" w:hAnsi="Times New Roman" w:cs="Times New Roman"/>
          <w:noProof/>
        </w:rPr>
        <w:drawing>
          <wp:inline distT="0" distB="0" distL="0" distR="0" wp14:anchorId="73A94350" wp14:editId="3F885B9C">
            <wp:extent cx="5687060" cy="14166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060" cy="1416685"/>
                    </a:xfrm>
                    <a:prstGeom prst="rect">
                      <a:avLst/>
                    </a:prstGeom>
                    <a:noFill/>
                    <a:ln>
                      <a:noFill/>
                    </a:ln>
                  </pic:spPr>
                </pic:pic>
              </a:graphicData>
            </a:graphic>
          </wp:inline>
        </w:drawing>
      </w:r>
      <w:r w:rsidRPr="00C0616B">
        <w:rPr>
          <w:rFonts w:ascii="Times New Roman" w:hAnsi="Times New Roman" w:cs="Times New Roman"/>
        </w:rPr>
        <w:t xml:space="preserve"> </w:t>
      </w:r>
    </w:p>
    <w:p w:rsidR="00CC3592" w:rsidRPr="00C0616B" w:rsidRDefault="00CC3592" w:rsidP="00CC3592">
      <w:pPr>
        <w:ind w:left="720"/>
        <w:rPr>
          <w:rFonts w:ascii="Times New Roman" w:hAnsi="Times New Roman" w:cs="Times New Roman"/>
        </w:rPr>
      </w:pPr>
      <w:r w:rsidRPr="00C0616B">
        <w:rPr>
          <w:rFonts w:ascii="Times New Roman" w:hAnsi="Times New Roman" w:cs="Times New Roman"/>
        </w:rPr>
        <w:t>This table is from the most recent DOE document and is for the nation.  It drives the conclusion/position that a 55kBTUh is a good level to use.</w:t>
      </w:r>
      <w:r w:rsidR="0002466F" w:rsidRPr="00C0616B">
        <w:rPr>
          <w:rFonts w:ascii="Times New Roman" w:hAnsi="Times New Roman" w:cs="Times New Roman"/>
        </w:rPr>
        <w:t xml:space="preserve">  </w:t>
      </w:r>
    </w:p>
    <w:p w:rsidR="00CC3592" w:rsidRPr="00C0616B" w:rsidRDefault="00CC3592" w:rsidP="00CC3592">
      <w:pPr>
        <w:ind w:left="720"/>
        <w:rPr>
          <w:rFonts w:ascii="Times New Roman" w:hAnsi="Times New Roman" w:cs="Times New Roman"/>
        </w:rPr>
      </w:pPr>
    </w:p>
    <w:p w:rsidR="00CC3592" w:rsidRPr="00C0616B" w:rsidRDefault="00CC3592" w:rsidP="00CC3592">
      <w:pPr>
        <w:ind w:left="720"/>
        <w:rPr>
          <w:rFonts w:ascii="Times New Roman" w:hAnsi="Times New Roman" w:cs="Times New Roman"/>
        </w:rPr>
      </w:pPr>
    </w:p>
    <w:p w:rsidR="00CC3592" w:rsidRPr="00C0616B" w:rsidRDefault="00CC3592" w:rsidP="00CC3592">
      <w:pPr>
        <w:pStyle w:val="ListParagraph"/>
        <w:numPr>
          <w:ilvl w:val="0"/>
          <w:numId w:val="1"/>
        </w:numPr>
        <w:rPr>
          <w:rFonts w:ascii="Times New Roman" w:hAnsi="Times New Roman" w:cs="Times New Roman"/>
        </w:rPr>
      </w:pPr>
      <w:r w:rsidRPr="00C0616B">
        <w:rPr>
          <w:rFonts w:ascii="Times New Roman" w:hAnsi="Times New Roman" w:cs="Times New Roman"/>
          <w:noProof/>
        </w:rPr>
        <w:drawing>
          <wp:inline distT="0" distB="0" distL="0" distR="0" wp14:anchorId="6D2F39C6" wp14:editId="47C8536C">
            <wp:extent cx="5144770" cy="188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4770" cy="1889125"/>
                    </a:xfrm>
                    <a:prstGeom prst="rect">
                      <a:avLst/>
                    </a:prstGeom>
                    <a:noFill/>
                    <a:ln>
                      <a:noFill/>
                    </a:ln>
                  </pic:spPr>
                </pic:pic>
              </a:graphicData>
            </a:graphic>
          </wp:inline>
        </w:drawing>
      </w:r>
    </w:p>
    <w:p w:rsidR="00CC3592" w:rsidRPr="00C0616B" w:rsidRDefault="00CC3592" w:rsidP="00CC3592">
      <w:pPr>
        <w:ind w:left="720"/>
        <w:rPr>
          <w:rFonts w:ascii="Times New Roman" w:hAnsi="Times New Roman" w:cs="Times New Roman"/>
        </w:rPr>
      </w:pPr>
      <w:r w:rsidRPr="00C0616B">
        <w:rPr>
          <w:rFonts w:ascii="Times New Roman" w:hAnsi="Times New Roman" w:cs="Times New Roman"/>
        </w:rPr>
        <w:t xml:space="preserve">The surprising number in this table is the 92 AFUE Quads is 2.6 and with the capacity standard goes </w:t>
      </w:r>
      <w:r w:rsidR="00255BB1" w:rsidRPr="00C0616B">
        <w:rPr>
          <w:rFonts w:ascii="Times New Roman" w:hAnsi="Times New Roman" w:cs="Times New Roman"/>
        </w:rPr>
        <w:t xml:space="preserve">the Quads go </w:t>
      </w:r>
      <w:r w:rsidRPr="00C0616B">
        <w:rPr>
          <w:rFonts w:ascii="Times New Roman" w:hAnsi="Times New Roman" w:cs="Times New Roman"/>
          <w:u w:val="single"/>
        </w:rPr>
        <w:t>up</w:t>
      </w:r>
      <w:r w:rsidR="00255BB1" w:rsidRPr="00C0616B">
        <w:rPr>
          <w:rFonts w:ascii="Times New Roman" w:hAnsi="Times New Roman" w:cs="Times New Roman"/>
          <w:u w:val="single"/>
        </w:rPr>
        <w:t xml:space="preserve"> to 2.9</w:t>
      </w:r>
      <w:r w:rsidRPr="00C0616B">
        <w:rPr>
          <w:rFonts w:ascii="Times New Roman" w:hAnsi="Times New Roman" w:cs="Times New Roman"/>
        </w:rPr>
        <w:t>.  This is because there is projected to be less</w:t>
      </w:r>
      <w:r w:rsidR="00255BB1" w:rsidRPr="00C0616B">
        <w:rPr>
          <w:rFonts w:ascii="Times New Roman" w:hAnsi="Times New Roman" w:cs="Times New Roman"/>
        </w:rPr>
        <w:t xml:space="preserve"> </w:t>
      </w:r>
      <w:r w:rsidRPr="00C0616B">
        <w:rPr>
          <w:rFonts w:ascii="Times New Roman" w:hAnsi="Times New Roman" w:cs="Times New Roman"/>
        </w:rPr>
        <w:t xml:space="preserve">fuel switching. California does not have fuel switching problems compared to other utilities, especially in the SE.  </w:t>
      </w:r>
    </w:p>
    <w:p w:rsidR="00CC3592" w:rsidRPr="00C0616B" w:rsidRDefault="00CC3592" w:rsidP="00CC3592">
      <w:pPr>
        <w:pStyle w:val="ListParagraph"/>
        <w:numPr>
          <w:ilvl w:val="0"/>
          <w:numId w:val="1"/>
        </w:numPr>
        <w:rPr>
          <w:rFonts w:ascii="Times New Roman" w:hAnsi="Times New Roman" w:cs="Times New Roman"/>
        </w:rPr>
      </w:pPr>
      <w:r w:rsidRPr="00C0616B">
        <w:rPr>
          <w:rFonts w:ascii="Times New Roman" w:hAnsi="Times New Roman" w:cs="Times New Roman"/>
        </w:rPr>
        <w:t>In the call with EE advocates</w:t>
      </w:r>
      <w:r w:rsidR="0002466F" w:rsidRPr="00C0616B">
        <w:rPr>
          <w:rFonts w:ascii="Times New Roman" w:hAnsi="Times New Roman" w:cs="Times New Roman"/>
        </w:rPr>
        <w:t xml:space="preserve">, and in the meeting next Wednesday, we can state our position in support of a single standard level but it will go nowhere.  Then we can note California’s unique position to lay the foundation for having 45kBTh as the level and then back off to 55 if needed.  </w:t>
      </w:r>
    </w:p>
    <w:p w:rsidR="00255BB1" w:rsidRPr="00C0616B" w:rsidRDefault="00255BB1" w:rsidP="00CC3592">
      <w:pPr>
        <w:pStyle w:val="ListParagraph"/>
        <w:numPr>
          <w:ilvl w:val="0"/>
          <w:numId w:val="1"/>
        </w:numPr>
        <w:rPr>
          <w:rFonts w:ascii="Times New Roman" w:hAnsi="Times New Roman" w:cs="Times New Roman"/>
        </w:rPr>
      </w:pPr>
      <w:r w:rsidRPr="00C0616B">
        <w:rPr>
          <w:rFonts w:ascii="Times New Roman" w:hAnsi="Times New Roman" w:cs="Times New Roman"/>
        </w:rPr>
        <w:t>We can also push to go up to 95 since it has the best PV and Quads combination while leaving the OEMs the option of 95+ units.</w:t>
      </w:r>
    </w:p>
    <w:p w:rsidR="00255BB1" w:rsidRPr="00C0616B" w:rsidRDefault="00255BB1" w:rsidP="00CC3592">
      <w:pPr>
        <w:pStyle w:val="ListParagraph"/>
        <w:numPr>
          <w:ilvl w:val="0"/>
          <w:numId w:val="1"/>
        </w:numPr>
        <w:rPr>
          <w:rFonts w:ascii="Times New Roman" w:hAnsi="Times New Roman" w:cs="Times New Roman"/>
        </w:rPr>
      </w:pPr>
      <w:r w:rsidRPr="00C0616B">
        <w:rPr>
          <w:rFonts w:ascii="Times New Roman" w:hAnsi="Times New Roman" w:cs="Times New Roman"/>
        </w:rPr>
        <w:t>But I want to avoid committing to signing on to the capacity based approach since it does not work for us.</w:t>
      </w:r>
    </w:p>
    <w:p w:rsidR="00255BB1" w:rsidRPr="00C0616B" w:rsidRDefault="00255BB1" w:rsidP="00255BB1">
      <w:pPr>
        <w:pStyle w:val="ListParagraph"/>
        <w:numPr>
          <w:ilvl w:val="0"/>
          <w:numId w:val="1"/>
        </w:numPr>
        <w:rPr>
          <w:rFonts w:ascii="Times New Roman" w:hAnsi="Times New Roman" w:cs="Times New Roman"/>
        </w:rPr>
      </w:pPr>
      <w:r w:rsidRPr="00C0616B">
        <w:rPr>
          <w:rFonts w:ascii="Times New Roman" w:hAnsi="Times New Roman" w:cs="Times New Roman"/>
        </w:rPr>
        <w:t>We need to push NRDC to get from AGA and AHRI (and others who endorse the compromise) a commitment to not sue DOE if they adopt a two tier standard.  The main reason to work on the capacity based standard is to avoid legal action which has already delayed furnace standards wasting money and energy.</w:t>
      </w:r>
    </w:p>
    <w:p w:rsidR="00255BB1" w:rsidRPr="00C0616B" w:rsidRDefault="00255BB1" w:rsidP="00255BB1">
      <w:pPr>
        <w:pStyle w:val="ListParagraph"/>
        <w:numPr>
          <w:ilvl w:val="0"/>
          <w:numId w:val="1"/>
        </w:numPr>
        <w:rPr>
          <w:rFonts w:ascii="Times New Roman" w:hAnsi="Times New Roman" w:cs="Times New Roman"/>
        </w:rPr>
      </w:pPr>
      <w:r w:rsidRPr="00C0616B">
        <w:rPr>
          <w:rFonts w:ascii="Times New Roman" w:hAnsi="Times New Roman" w:cs="Times New Roman"/>
        </w:rPr>
        <w:lastRenderedPageBreak/>
        <w:t xml:space="preserve"> </w:t>
      </w:r>
      <w:r w:rsidRPr="00C0616B">
        <w:rPr>
          <w:rFonts w:ascii="Times New Roman" w:hAnsi="Times New Roman" w:cs="Times New Roman"/>
        </w:rPr>
        <w:t>Lemonade from lemons</w:t>
      </w:r>
    </w:p>
    <w:p w:rsidR="00255BB1" w:rsidRPr="00C0616B" w:rsidRDefault="00084766" w:rsidP="00084766">
      <w:pPr>
        <w:pStyle w:val="ListParagraph"/>
        <w:numPr>
          <w:ilvl w:val="1"/>
          <w:numId w:val="1"/>
        </w:numPr>
        <w:rPr>
          <w:rFonts w:ascii="Times New Roman" w:hAnsi="Times New Roman" w:cs="Times New Roman"/>
        </w:rPr>
      </w:pPr>
      <w:r w:rsidRPr="00C0616B">
        <w:rPr>
          <w:rFonts w:ascii="Times New Roman" w:hAnsi="Times New Roman" w:cs="Times New Roman"/>
        </w:rPr>
        <w:t xml:space="preserve">Replacement Furnaces are most often the same capacity as the unit being replaced.  Not until recently have furnaces been &lt;60k.  Contractors do not want comfort complaints.  </w:t>
      </w:r>
    </w:p>
    <w:p w:rsidR="00084766" w:rsidRPr="00C0616B" w:rsidRDefault="00084766" w:rsidP="00084766">
      <w:pPr>
        <w:pStyle w:val="ListParagraph"/>
        <w:numPr>
          <w:ilvl w:val="1"/>
          <w:numId w:val="1"/>
        </w:numPr>
        <w:rPr>
          <w:rFonts w:ascii="Times New Roman" w:hAnsi="Times New Roman" w:cs="Times New Roman"/>
        </w:rPr>
      </w:pPr>
      <w:r w:rsidRPr="00C0616B">
        <w:rPr>
          <w:rFonts w:ascii="Times New Roman" w:hAnsi="Times New Roman" w:cs="Times New Roman"/>
        </w:rPr>
        <w:t xml:space="preserve">Furnace capacity in CZs with cooling is driven by the airflow needed for AC.  Furnaces with 45k </w:t>
      </w:r>
      <w:proofErr w:type="spellStart"/>
      <w:r w:rsidRPr="00C0616B">
        <w:rPr>
          <w:rFonts w:ascii="Times New Roman" w:hAnsi="Times New Roman" w:cs="Times New Roman"/>
        </w:rPr>
        <w:t>BTUh</w:t>
      </w:r>
      <w:proofErr w:type="spellEnd"/>
      <w:r w:rsidRPr="00C0616B">
        <w:rPr>
          <w:rFonts w:ascii="Times New Roman" w:hAnsi="Times New Roman" w:cs="Times New Roman"/>
        </w:rPr>
        <w:t xml:space="preserve"> can only handle up to 3 tons.</w:t>
      </w:r>
    </w:p>
    <w:p w:rsidR="00084766" w:rsidRPr="00C0616B" w:rsidRDefault="00084766" w:rsidP="00084766">
      <w:pPr>
        <w:pStyle w:val="ListParagraph"/>
        <w:numPr>
          <w:ilvl w:val="1"/>
          <w:numId w:val="1"/>
        </w:numPr>
      </w:pPr>
      <w:r w:rsidRPr="00C0616B">
        <w:rPr>
          <w:rFonts w:ascii="Times New Roman" w:hAnsi="Times New Roman" w:cs="Times New Roman"/>
        </w:rPr>
        <w:t xml:space="preserve">For new construction (T24 2019) </w:t>
      </w:r>
      <w:r w:rsidR="00C0616B" w:rsidRPr="00C0616B">
        <w:rPr>
          <w:rFonts w:ascii="Times New Roman" w:hAnsi="Times New Roman" w:cs="Times New Roman"/>
        </w:rPr>
        <w:t>TDV Zero will mean that if a noncondensing furnace is chosen</w:t>
      </w:r>
      <w:bookmarkStart w:id="0" w:name="_GoBack"/>
      <w:bookmarkEnd w:id="0"/>
      <w:r w:rsidR="00C0616B" w:rsidRPr="00C0616B">
        <w:rPr>
          <w:rFonts w:ascii="Times New Roman" w:hAnsi="Times New Roman" w:cs="Times New Roman"/>
        </w:rPr>
        <w:t xml:space="preserve"> other efficiency measures and/or more PV will need to be installed.  These will cost more than the furnace upgrade.</w:t>
      </w:r>
    </w:p>
    <w:p w:rsidR="00C0616B" w:rsidRPr="00C0616B" w:rsidRDefault="00C0616B" w:rsidP="00C0616B">
      <w:pPr>
        <w:pStyle w:val="ListParagraph"/>
        <w:numPr>
          <w:ilvl w:val="0"/>
          <w:numId w:val="1"/>
        </w:numPr>
      </w:pPr>
      <w:r>
        <w:rPr>
          <w:rFonts w:ascii="Times New Roman" w:hAnsi="Times New Roman" w:cs="Times New Roman"/>
        </w:rPr>
        <w:t>With 45kBTUh cutoff, 95 AFUE</w:t>
      </w:r>
      <w:proofErr w:type="gramStart"/>
      <w:r>
        <w:rPr>
          <w:rFonts w:ascii="Times New Roman" w:hAnsi="Times New Roman" w:cs="Times New Roman"/>
        </w:rPr>
        <w:t>,  and</w:t>
      </w:r>
      <w:proofErr w:type="gramEnd"/>
      <w:r>
        <w:rPr>
          <w:rFonts w:ascii="Times New Roman" w:hAnsi="Times New Roman" w:cs="Times New Roman"/>
        </w:rPr>
        <w:t xml:space="preserve"> the guarantee of no legal action this compromise might turn to be acceptable. </w:t>
      </w:r>
    </w:p>
    <w:p w:rsidR="00C0616B" w:rsidRDefault="00C0616B" w:rsidP="00C0616B">
      <w:pPr>
        <w:rPr>
          <w:rFonts w:ascii="Times New Roman" w:hAnsi="Times New Roman" w:cs="Times New Roman"/>
        </w:rPr>
      </w:pPr>
    </w:p>
    <w:p w:rsidR="00C0616B" w:rsidRDefault="00C0616B" w:rsidP="00C0616B">
      <w:r>
        <w:rPr>
          <w:rFonts w:ascii="Times New Roman" w:hAnsi="Times New Roman" w:cs="Times New Roman"/>
        </w:rPr>
        <w:t>Please treat this as a working draft.</w:t>
      </w:r>
      <w:r w:rsidRPr="00C0616B">
        <w:rPr>
          <w:rFonts w:ascii="Times New Roman" w:hAnsi="Times New Roman" w:cs="Times New Roman"/>
        </w:rPr>
        <w:t xml:space="preserve"> </w:t>
      </w:r>
    </w:p>
    <w:p w:rsidR="00255BB1" w:rsidRDefault="00255BB1" w:rsidP="00255BB1">
      <w:pPr>
        <w:pStyle w:val="ListParagraph"/>
      </w:pPr>
    </w:p>
    <w:p w:rsidR="0099703A" w:rsidRDefault="000076EB"/>
    <w:sectPr w:rsidR="009970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EB" w:rsidRDefault="000076EB" w:rsidP="00C0616B">
      <w:r>
        <w:separator/>
      </w:r>
    </w:p>
  </w:endnote>
  <w:endnote w:type="continuationSeparator" w:id="0">
    <w:p w:rsidR="000076EB" w:rsidRDefault="000076EB" w:rsidP="00C0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6B" w:rsidRDefault="00C06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6B" w:rsidRDefault="00C06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6B" w:rsidRDefault="00C06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EB" w:rsidRDefault="000076EB" w:rsidP="00C0616B">
      <w:r>
        <w:separator/>
      </w:r>
    </w:p>
  </w:footnote>
  <w:footnote w:type="continuationSeparator" w:id="0">
    <w:p w:rsidR="000076EB" w:rsidRDefault="000076EB" w:rsidP="00C06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6B" w:rsidRDefault="00C06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4132"/>
      <w:docPartObj>
        <w:docPartGallery w:val="Watermarks"/>
        <w:docPartUnique/>
      </w:docPartObj>
    </w:sdtPr>
    <w:sdtContent>
      <w:p w:rsidR="00C0616B" w:rsidRDefault="00C0616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6B" w:rsidRDefault="00C06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0CD"/>
    <w:multiLevelType w:val="hybridMultilevel"/>
    <w:tmpl w:val="DD488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92"/>
    <w:rsid w:val="000076EB"/>
    <w:rsid w:val="0002466F"/>
    <w:rsid w:val="0003145B"/>
    <w:rsid w:val="00084766"/>
    <w:rsid w:val="00255BB1"/>
    <w:rsid w:val="004633E1"/>
    <w:rsid w:val="00C0616B"/>
    <w:rsid w:val="00CC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2"/>
    <w:pPr>
      <w:ind w:left="720"/>
    </w:pPr>
  </w:style>
  <w:style w:type="paragraph" w:styleId="BalloonText">
    <w:name w:val="Balloon Text"/>
    <w:basedOn w:val="Normal"/>
    <w:link w:val="BalloonTextChar"/>
    <w:uiPriority w:val="99"/>
    <w:semiHidden/>
    <w:unhideWhenUsed/>
    <w:rsid w:val="00CC3592"/>
    <w:rPr>
      <w:rFonts w:ascii="Tahoma" w:hAnsi="Tahoma" w:cs="Tahoma"/>
      <w:sz w:val="16"/>
      <w:szCs w:val="16"/>
    </w:rPr>
  </w:style>
  <w:style w:type="character" w:customStyle="1" w:styleId="BalloonTextChar">
    <w:name w:val="Balloon Text Char"/>
    <w:basedOn w:val="DefaultParagraphFont"/>
    <w:link w:val="BalloonText"/>
    <w:uiPriority w:val="99"/>
    <w:semiHidden/>
    <w:rsid w:val="00CC3592"/>
    <w:rPr>
      <w:rFonts w:ascii="Tahoma" w:hAnsi="Tahoma" w:cs="Tahoma"/>
      <w:sz w:val="16"/>
      <w:szCs w:val="16"/>
    </w:rPr>
  </w:style>
  <w:style w:type="character" w:styleId="Hyperlink">
    <w:name w:val="Hyperlink"/>
    <w:basedOn w:val="DefaultParagraphFont"/>
    <w:uiPriority w:val="99"/>
    <w:unhideWhenUsed/>
    <w:rsid w:val="00CC3592"/>
    <w:rPr>
      <w:color w:val="0000FF" w:themeColor="hyperlink"/>
      <w:u w:val="single"/>
    </w:rPr>
  </w:style>
  <w:style w:type="paragraph" w:styleId="Header">
    <w:name w:val="header"/>
    <w:basedOn w:val="Normal"/>
    <w:link w:val="HeaderChar"/>
    <w:uiPriority w:val="99"/>
    <w:unhideWhenUsed/>
    <w:rsid w:val="00C0616B"/>
    <w:pPr>
      <w:tabs>
        <w:tab w:val="center" w:pos="4680"/>
        <w:tab w:val="right" w:pos="9360"/>
      </w:tabs>
    </w:pPr>
  </w:style>
  <w:style w:type="character" w:customStyle="1" w:styleId="HeaderChar">
    <w:name w:val="Header Char"/>
    <w:basedOn w:val="DefaultParagraphFont"/>
    <w:link w:val="Header"/>
    <w:uiPriority w:val="99"/>
    <w:rsid w:val="00C0616B"/>
  </w:style>
  <w:style w:type="paragraph" w:styleId="Footer">
    <w:name w:val="footer"/>
    <w:basedOn w:val="Normal"/>
    <w:link w:val="FooterChar"/>
    <w:uiPriority w:val="99"/>
    <w:unhideWhenUsed/>
    <w:rsid w:val="00C0616B"/>
    <w:pPr>
      <w:tabs>
        <w:tab w:val="center" w:pos="4680"/>
        <w:tab w:val="right" w:pos="9360"/>
      </w:tabs>
    </w:pPr>
  </w:style>
  <w:style w:type="character" w:customStyle="1" w:styleId="FooterChar">
    <w:name w:val="Footer Char"/>
    <w:basedOn w:val="DefaultParagraphFont"/>
    <w:link w:val="Footer"/>
    <w:uiPriority w:val="99"/>
    <w:rsid w:val="00C06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2"/>
    <w:pPr>
      <w:ind w:left="720"/>
    </w:pPr>
  </w:style>
  <w:style w:type="paragraph" w:styleId="BalloonText">
    <w:name w:val="Balloon Text"/>
    <w:basedOn w:val="Normal"/>
    <w:link w:val="BalloonTextChar"/>
    <w:uiPriority w:val="99"/>
    <w:semiHidden/>
    <w:unhideWhenUsed/>
    <w:rsid w:val="00CC3592"/>
    <w:rPr>
      <w:rFonts w:ascii="Tahoma" w:hAnsi="Tahoma" w:cs="Tahoma"/>
      <w:sz w:val="16"/>
      <w:szCs w:val="16"/>
    </w:rPr>
  </w:style>
  <w:style w:type="character" w:customStyle="1" w:styleId="BalloonTextChar">
    <w:name w:val="Balloon Text Char"/>
    <w:basedOn w:val="DefaultParagraphFont"/>
    <w:link w:val="BalloonText"/>
    <w:uiPriority w:val="99"/>
    <w:semiHidden/>
    <w:rsid w:val="00CC3592"/>
    <w:rPr>
      <w:rFonts w:ascii="Tahoma" w:hAnsi="Tahoma" w:cs="Tahoma"/>
      <w:sz w:val="16"/>
      <w:szCs w:val="16"/>
    </w:rPr>
  </w:style>
  <w:style w:type="character" w:styleId="Hyperlink">
    <w:name w:val="Hyperlink"/>
    <w:basedOn w:val="DefaultParagraphFont"/>
    <w:uiPriority w:val="99"/>
    <w:unhideWhenUsed/>
    <w:rsid w:val="00CC3592"/>
    <w:rPr>
      <w:color w:val="0000FF" w:themeColor="hyperlink"/>
      <w:u w:val="single"/>
    </w:rPr>
  </w:style>
  <w:style w:type="paragraph" w:styleId="Header">
    <w:name w:val="header"/>
    <w:basedOn w:val="Normal"/>
    <w:link w:val="HeaderChar"/>
    <w:uiPriority w:val="99"/>
    <w:unhideWhenUsed/>
    <w:rsid w:val="00C0616B"/>
    <w:pPr>
      <w:tabs>
        <w:tab w:val="center" w:pos="4680"/>
        <w:tab w:val="right" w:pos="9360"/>
      </w:tabs>
    </w:pPr>
  </w:style>
  <w:style w:type="character" w:customStyle="1" w:styleId="HeaderChar">
    <w:name w:val="Header Char"/>
    <w:basedOn w:val="DefaultParagraphFont"/>
    <w:link w:val="Header"/>
    <w:uiPriority w:val="99"/>
    <w:rsid w:val="00C0616B"/>
  </w:style>
  <w:style w:type="paragraph" w:styleId="Footer">
    <w:name w:val="footer"/>
    <w:basedOn w:val="Normal"/>
    <w:link w:val="FooterChar"/>
    <w:uiPriority w:val="99"/>
    <w:unhideWhenUsed/>
    <w:rsid w:val="00C0616B"/>
    <w:pPr>
      <w:tabs>
        <w:tab w:val="center" w:pos="4680"/>
        <w:tab w:val="right" w:pos="9360"/>
      </w:tabs>
    </w:pPr>
  </w:style>
  <w:style w:type="character" w:customStyle="1" w:styleId="FooterChar">
    <w:name w:val="Footer Char"/>
    <w:basedOn w:val="DefaultParagraphFont"/>
    <w:link w:val="Footer"/>
    <w:uiPriority w:val="99"/>
    <w:rsid w:val="00C0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h9@pge.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AA0BB-9B58-4AB9-809A-4F79E4C80F6B}"/>
</file>

<file path=customXml/itemProps2.xml><?xml version="1.0" encoding="utf-8"?>
<ds:datastoreItem xmlns:ds="http://schemas.openxmlformats.org/officeDocument/2006/customXml" ds:itemID="{D2ECF7A5-4531-44FF-B517-AA185CE427AA}"/>
</file>

<file path=customXml/itemProps3.xml><?xml version="1.0" encoding="utf-8"?>
<ds:datastoreItem xmlns:ds="http://schemas.openxmlformats.org/officeDocument/2006/customXml" ds:itemID="{9689B944-4394-40C6-976D-D2EB329EAFB4}"/>
</file>

<file path=docProps/app.xml><?xml version="1.0" encoding="utf-8"?>
<Properties xmlns="http://schemas.openxmlformats.org/officeDocument/2006/extended-properties" xmlns:vt="http://schemas.openxmlformats.org/officeDocument/2006/docPropsVTypes">
  <Template>Normal.dotm</Template>
  <TotalTime>50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2</cp:revision>
  <dcterms:created xsi:type="dcterms:W3CDTF">2015-09-16T17:00:00Z</dcterms:created>
  <dcterms:modified xsi:type="dcterms:W3CDTF">2015-09-16T17:50:00Z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