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AC" w:rsidRPr="00A07830" w:rsidRDefault="00ED5DAC" w:rsidP="00965FB5">
      <w:pPr>
        <w:jc w:val="center"/>
        <w:rPr>
          <w:rFonts w:asciiTheme="majorHAnsi" w:hAnsiTheme="majorHAnsi"/>
          <w:b/>
          <w:sz w:val="22"/>
          <w:szCs w:val="22"/>
        </w:rPr>
      </w:pPr>
      <w:r w:rsidRPr="00A07830">
        <w:rPr>
          <w:rFonts w:asciiTheme="majorHAnsi" w:hAnsiTheme="majorHAnsi"/>
          <w:b/>
          <w:sz w:val="22"/>
          <w:szCs w:val="22"/>
        </w:rPr>
        <w:t>Department of Energy</w:t>
      </w:r>
      <w:r w:rsidR="00965FB5" w:rsidRPr="00A07830">
        <w:rPr>
          <w:rFonts w:asciiTheme="majorHAnsi" w:hAnsiTheme="majorHAnsi"/>
          <w:b/>
          <w:sz w:val="22"/>
          <w:szCs w:val="22"/>
        </w:rPr>
        <w:t xml:space="preserve"> </w:t>
      </w:r>
      <w:r w:rsidRPr="00A07830">
        <w:rPr>
          <w:rFonts w:asciiTheme="majorHAnsi" w:hAnsiTheme="majorHAnsi"/>
          <w:b/>
          <w:sz w:val="22"/>
          <w:szCs w:val="22"/>
        </w:rPr>
        <w:t xml:space="preserve">Residential Furnace </w:t>
      </w:r>
      <w:r w:rsidR="00580A8A" w:rsidRPr="00A07830">
        <w:rPr>
          <w:rFonts w:asciiTheme="majorHAnsi" w:hAnsiTheme="majorHAnsi"/>
          <w:b/>
          <w:sz w:val="22"/>
          <w:szCs w:val="22"/>
        </w:rPr>
        <w:t>Standard</w:t>
      </w:r>
      <w:r w:rsidRPr="00A07830">
        <w:rPr>
          <w:rFonts w:asciiTheme="majorHAnsi" w:hAnsiTheme="majorHAnsi"/>
          <w:b/>
          <w:sz w:val="22"/>
          <w:szCs w:val="22"/>
        </w:rPr>
        <w:t>s Rulemaking Summary</w:t>
      </w:r>
    </w:p>
    <w:p w:rsidR="00161EF5" w:rsidRPr="00A07830" w:rsidRDefault="00161EF5" w:rsidP="00161EF5">
      <w:pPr>
        <w:jc w:val="center"/>
        <w:rPr>
          <w:rFonts w:asciiTheme="majorHAnsi" w:hAnsiTheme="majorHAnsi"/>
          <w:i/>
          <w:sz w:val="22"/>
          <w:szCs w:val="22"/>
        </w:rPr>
      </w:pPr>
    </w:p>
    <w:p w:rsidR="00BC520C" w:rsidRDefault="00A27693" w:rsidP="00BC520C">
      <w:pPr>
        <w:pBdr>
          <w:bottom w:val="single" w:sz="4" w:space="0" w:color="auto"/>
        </w:pBdr>
        <w:rPr>
          <w:rFonts w:asciiTheme="majorHAnsi" w:hAnsiTheme="majorHAnsi"/>
          <w:sz w:val="22"/>
          <w:szCs w:val="22"/>
        </w:rPr>
      </w:pPr>
      <w:r w:rsidRPr="00BE2068">
        <w:rPr>
          <w:rFonts w:asciiTheme="majorHAnsi" w:hAnsiTheme="majorHAnsi"/>
          <w:sz w:val="22"/>
          <w:szCs w:val="22"/>
        </w:rPr>
        <w:t>Scope</w:t>
      </w:r>
    </w:p>
    <w:p w:rsidR="00590F85" w:rsidRPr="00A07830" w:rsidRDefault="00590F85" w:rsidP="00590F85">
      <w:pPr>
        <w:pStyle w:val="ListParagraph"/>
        <w:rPr>
          <w:rFonts w:asciiTheme="majorHAnsi" w:hAnsiTheme="majorHAnsi" w:cs="Times New Roman"/>
        </w:rPr>
      </w:pPr>
      <w:r w:rsidRPr="00A07830">
        <w:rPr>
          <w:rFonts w:asciiTheme="majorHAnsi" w:hAnsiTheme="majorHAnsi" w:cs="Times New Roman"/>
        </w:rPr>
        <w:t>Residential non-weatherized gas-fired furnaces and mobile home gas-fired furnaces</w:t>
      </w:r>
    </w:p>
    <w:p w:rsidR="00590F85" w:rsidRPr="00BE2068" w:rsidRDefault="00590F85" w:rsidP="00BC520C">
      <w:pPr>
        <w:pBdr>
          <w:bottom w:val="single" w:sz="4" w:space="0" w:color="auto"/>
        </w:pBdr>
        <w:rPr>
          <w:rFonts w:asciiTheme="majorHAnsi" w:hAnsiTheme="majorHAnsi"/>
          <w:sz w:val="22"/>
          <w:szCs w:val="22"/>
        </w:rPr>
      </w:pP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
        <w:gridCol w:w="1305"/>
        <w:gridCol w:w="6650"/>
      </w:tblGrid>
      <w:tr w:rsidR="00590F85" w:rsidRPr="00590F85" w:rsidTr="00FF158F">
        <w:trPr>
          <w:trHeight w:val="300"/>
        </w:trPr>
        <w:tc>
          <w:tcPr>
            <w:tcW w:w="96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Year</w:t>
            </w:r>
          </w:p>
        </w:tc>
        <w:tc>
          <w:tcPr>
            <w:tcW w:w="1398" w:type="dxa"/>
            <w:shd w:val="clear" w:color="auto" w:fill="00B0F0"/>
            <w:noWrap/>
            <w:vAlign w:val="center"/>
            <w:hideMark/>
          </w:tcPr>
          <w:p w:rsidR="00590F85" w:rsidRPr="00590F85" w:rsidRDefault="00590F85" w:rsidP="00FF158F">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 xml:space="preserve">Minimum Standard </w:t>
            </w:r>
          </w:p>
        </w:tc>
        <w:tc>
          <w:tcPr>
            <w:tcW w:w="720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Key Activity</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1987</w:t>
            </w:r>
          </w:p>
        </w:tc>
        <w:tc>
          <w:tcPr>
            <w:tcW w:w="1398" w:type="dxa"/>
            <w:vMerge w:val="restart"/>
            <w:noWrap/>
            <w:vAlign w:val="center"/>
          </w:tcPr>
          <w:p w:rsidR="00590F85" w:rsidRPr="00590F85" w:rsidRDefault="00590F85" w:rsidP="00590F85">
            <w:pPr>
              <w:jc w:val="center"/>
              <w:rPr>
                <w:rFonts w:asciiTheme="majorHAnsi" w:hAnsiTheme="majorHAnsi"/>
                <w:b/>
                <w:color w:val="C00000"/>
                <w:sz w:val="16"/>
                <w:szCs w:val="20"/>
              </w:rPr>
            </w:pPr>
            <w:r w:rsidRPr="00590F85">
              <w:rPr>
                <w:rFonts w:asciiTheme="majorHAnsi" w:hAnsiTheme="majorHAnsi"/>
                <w:b/>
                <w:color w:val="C00000"/>
                <w:sz w:val="16"/>
                <w:szCs w:val="20"/>
              </w:rPr>
              <w:t>Non-Condensing Furnace – 35 years</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1987: Current minimum standard of 78% Annual Fuel Utilization Efficiency (AFUE) adopted by US Congress in National Appliance Energy Conservation Act.</w:t>
            </w:r>
          </w:p>
        </w:tc>
      </w:tr>
      <w:tr w:rsidR="00590F85" w:rsidRPr="00590F85" w:rsidTr="001547AA">
        <w:trPr>
          <w:trHeight w:val="458"/>
        </w:trPr>
        <w:tc>
          <w:tcPr>
            <w:tcW w:w="960" w:type="dxa"/>
            <w:noWrap/>
            <w:vAlign w:val="center"/>
          </w:tcPr>
          <w:p w:rsidR="00590F85" w:rsidRPr="00590F85" w:rsidRDefault="00590F85" w:rsidP="00590F85">
            <w:pPr>
              <w:jc w:val="center"/>
              <w:rPr>
                <w:rFonts w:asciiTheme="majorHAnsi" w:hAnsiTheme="majorHAnsi"/>
                <w:i/>
                <w:sz w:val="16"/>
                <w:szCs w:val="20"/>
              </w:rPr>
            </w:pPr>
            <w:r w:rsidRPr="00590F85">
              <w:rPr>
                <w:rFonts w:asciiTheme="majorHAnsi" w:hAnsiTheme="majorHAnsi"/>
                <w:i/>
                <w:sz w:val="16"/>
                <w:szCs w:val="20"/>
              </w:rPr>
              <w:t>1988 - 2009</w:t>
            </w:r>
          </w:p>
        </w:tc>
        <w:tc>
          <w:tcPr>
            <w:tcW w:w="1398" w:type="dxa"/>
            <w:vMerge/>
            <w:noWrap/>
            <w:vAlign w:val="center"/>
          </w:tcPr>
          <w:p w:rsidR="00590F85" w:rsidRPr="00590F85" w:rsidRDefault="00590F85" w:rsidP="00590F85">
            <w:pPr>
              <w:jc w:val="center"/>
              <w:rPr>
                <w:rFonts w:asciiTheme="majorHAnsi" w:hAnsiTheme="majorHAnsi"/>
                <w:b/>
                <w:color w:val="C00000"/>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2009</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October 2009: Manufacturers and efficiency advocates negotiated an agreement that included an update to the standard by setting three different levels by climate regions: the North, South, and Southwest.</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December 2009: The American Public Gas Association filed a lawsuit objecting to the process used to adopt the standards.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2012</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val="restart"/>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 while court case is pending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2013</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2014</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April 2014: U.S. Court of Appeals for the D.C. Circuit approved a settlement between DOE and the APGA - new DOE rulemaking to be completed by March 2016</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2015</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2015: DOE released for public review analysis of the costs and benefits of condensing furnace standard</w:t>
            </w:r>
          </w:p>
          <w:p w:rsidR="00590F85" w:rsidRPr="00590F85" w:rsidRDefault="00590F85" w:rsidP="00590F85">
            <w:pPr>
              <w:rPr>
                <w:rFonts w:asciiTheme="majorHAnsi" w:hAnsiTheme="majorHAnsi"/>
                <w:sz w:val="16"/>
                <w:szCs w:val="21"/>
              </w:rPr>
            </w:pPr>
            <w:r w:rsidRPr="00590F85">
              <w:rPr>
                <w:rFonts w:asciiTheme="majorHAnsi" w:hAnsiTheme="majorHAnsi"/>
                <w:sz w:val="16"/>
                <w:szCs w:val="21"/>
              </w:rPr>
              <w:t>November 2015: Minimum become 80% AFUE noncondensing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2016</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2016: Anticipated DOE Final Rule for updated standards.</w:t>
            </w:r>
          </w:p>
        </w:tc>
      </w:tr>
      <w:tr w:rsidR="00590F85" w:rsidRPr="00590F85" w:rsidTr="001547AA">
        <w:trPr>
          <w:trHeight w:val="557"/>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2017 - 2020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Mandatory five year period between final rule and effective date</w:t>
            </w:r>
          </w:p>
        </w:tc>
      </w:tr>
      <w:tr w:rsidR="00590F85" w:rsidRPr="00590F85" w:rsidTr="001547AA">
        <w:trPr>
          <w:trHeight w:val="7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2021</w:t>
            </w:r>
          </w:p>
        </w:tc>
        <w:tc>
          <w:tcPr>
            <w:tcW w:w="1398" w:type="dxa"/>
            <w:vMerge w:val="restart"/>
            <w:noWrap/>
            <w:vAlign w:val="center"/>
          </w:tcPr>
          <w:p w:rsidR="00590F85" w:rsidRPr="00590F85" w:rsidRDefault="00590F85" w:rsidP="00590F85">
            <w:pPr>
              <w:jc w:val="center"/>
              <w:rPr>
                <w:rFonts w:asciiTheme="majorHAnsi" w:hAnsiTheme="majorHAnsi"/>
                <w:b/>
                <w:sz w:val="16"/>
                <w:szCs w:val="20"/>
              </w:rPr>
            </w:pPr>
            <w:r w:rsidRPr="00590F85">
              <w:rPr>
                <w:rFonts w:asciiTheme="majorHAnsi" w:hAnsiTheme="majorHAnsi"/>
                <w:b/>
                <w:color w:val="00B050"/>
                <w:sz w:val="16"/>
                <w:szCs w:val="20"/>
              </w:rPr>
              <w:t>Condensing Furnace</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2021: Anticipated effective date for updated standards. This would be the first effective update to the standard level in 34 years.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2021-2051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 xml:space="preserve">Projected total accumulated energy savings over 30 years in U.S.: </w:t>
            </w:r>
          </w:p>
          <w:p w:rsidR="00590F85" w:rsidRPr="00590F85" w:rsidRDefault="00590F85" w:rsidP="00590F85">
            <w:pPr>
              <w:rPr>
                <w:rFonts w:asciiTheme="majorHAnsi" w:hAnsiTheme="majorHAnsi"/>
                <w:sz w:val="16"/>
                <w:szCs w:val="20"/>
              </w:rPr>
            </w:pPr>
            <w:r w:rsidRPr="00590F85">
              <w:rPr>
                <w:rFonts w:asciiTheme="majorHAnsi" w:hAnsiTheme="majorHAnsi"/>
                <w:b/>
                <w:sz w:val="16"/>
                <w:szCs w:val="20"/>
              </w:rPr>
              <w:t>2.78 Quads or 28 Billion Therms</w:t>
            </w:r>
            <w:r w:rsidRPr="00590F85">
              <w:rPr>
                <w:rFonts w:asciiTheme="majorHAnsi" w:hAnsiTheme="majorHAnsi"/>
                <w:sz w:val="16"/>
                <w:szCs w:val="20"/>
              </w:rPr>
              <w:t>.</w:t>
            </w:r>
          </w:p>
        </w:tc>
      </w:tr>
    </w:tbl>
    <w:p w:rsidR="00E517B6" w:rsidRPr="00A07830" w:rsidRDefault="00E517B6" w:rsidP="00694F28">
      <w:pPr>
        <w:pStyle w:val="ListParagraph"/>
        <w:numPr>
          <w:ilvl w:val="0"/>
          <w:numId w:val="0"/>
        </w:numPr>
        <w:ind w:left="360"/>
        <w:rPr>
          <w:rFonts w:asciiTheme="majorHAnsi" w:hAnsiTheme="majorHAnsi" w:cs="Times New Roman"/>
        </w:rPr>
      </w:pPr>
    </w:p>
    <w:p w:rsidR="00201829" w:rsidRPr="00201829" w:rsidRDefault="00201829" w:rsidP="00694F28">
      <w:pPr>
        <w:pStyle w:val="ListParagraph"/>
        <w:numPr>
          <w:ilvl w:val="0"/>
          <w:numId w:val="0"/>
        </w:numPr>
        <w:ind w:left="360"/>
        <w:rPr>
          <w:rFonts w:asciiTheme="majorHAnsi" w:hAnsiTheme="majorHAnsi" w:cs="Times New Roman"/>
        </w:rPr>
      </w:pPr>
    </w:p>
    <w:p w:rsidR="00F6009C" w:rsidRPr="00A07830" w:rsidRDefault="00F6009C" w:rsidP="00F80886">
      <w:pPr>
        <w:ind w:left="360"/>
        <w:rPr>
          <w:rFonts w:asciiTheme="majorHAnsi" w:hAnsiTheme="majorHAnsi"/>
        </w:rPr>
      </w:pPr>
    </w:p>
    <w:tbl>
      <w:tblPr>
        <w:tblStyle w:val="LightList-Accent5"/>
        <w:tblW w:w="8800"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610"/>
        <w:gridCol w:w="2790"/>
        <w:gridCol w:w="1919"/>
        <w:gridCol w:w="2481"/>
      </w:tblGrid>
      <w:tr w:rsidR="00007C87" w:rsidRPr="00D47423" w:rsidTr="00D47423">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10" w:type="dxa"/>
            <w:shd w:val="clear" w:color="auto" w:fill="00B0F0"/>
            <w:vAlign w:val="bottom"/>
          </w:tcPr>
          <w:p w:rsidR="00007C87" w:rsidRPr="00D47423" w:rsidRDefault="00007C87" w:rsidP="00A07830">
            <w:pPr>
              <w:rPr>
                <w:rFonts w:asciiTheme="majorHAnsi" w:hAnsiTheme="majorHAnsi"/>
                <w:sz w:val="20"/>
                <w:szCs w:val="20"/>
              </w:rPr>
            </w:pPr>
            <w:r w:rsidRPr="00D47423">
              <w:rPr>
                <w:rFonts w:asciiTheme="majorHAnsi" w:hAnsiTheme="majorHAnsi"/>
                <w:sz w:val="20"/>
                <w:szCs w:val="20"/>
              </w:rPr>
              <w:t>PG&amp;E Position</w:t>
            </w:r>
          </w:p>
        </w:tc>
        <w:tc>
          <w:tcPr>
            <w:tcW w:w="279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Position</w:t>
            </w:r>
          </w:p>
        </w:tc>
        <w:tc>
          <w:tcPr>
            <w:tcW w:w="1919"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Counter Position</w:t>
            </w:r>
          </w:p>
        </w:tc>
        <w:tc>
          <w:tcPr>
            <w:tcW w:w="2481"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Counter Position</w:t>
            </w:r>
          </w:p>
        </w:tc>
      </w:tr>
      <w:tr w:rsidR="00007C87" w:rsidRPr="00D47423" w:rsidTr="00D47423">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610" w:type="dxa"/>
          </w:tcPr>
          <w:p w:rsidR="00007C87" w:rsidRPr="00D47423" w:rsidRDefault="00007C87" w:rsidP="006872A9">
            <w:pPr>
              <w:rPr>
                <w:rFonts w:asciiTheme="majorHAnsi" w:hAnsiTheme="majorHAnsi"/>
                <w:b w:val="0"/>
                <w:sz w:val="20"/>
                <w:szCs w:val="20"/>
              </w:rPr>
            </w:pPr>
            <w:r w:rsidRPr="00D47423">
              <w:rPr>
                <w:rFonts w:asciiTheme="majorHAnsi" w:hAnsiTheme="majorHAnsi"/>
                <w:b w:val="0"/>
                <w:sz w:val="20"/>
                <w:szCs w:val="20"/>
              </w:rPr>
              <w:t xml:space="preserve">Support DOE proposed level as cost effective </w:t>
            </w:r>
          </w:p>
        </w:tc>
        <w:tc>
          <w:tcPr>
            <w:tcW w:w="2790" w:type="dxa"/>
          </w:tcPr>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NEEP</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ACEEE</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CEC</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NRDC</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EEI</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roofErr w:type="spellStart"/>
            <w:r w:rsidRPr="00D47423">
              <w:rPr>
                <w:rFonts w:asciiTheme="majorHAnsi" w:hAnsiTheme="majorHAnsi"/>
                <w:i/>
                <w:sz w:val="20"/>
                <w:szCs w:val="20"/>
              </w:rPr>
              <w:t>Earthjustice</w:t>
            </w:r>
            <w:proofErr w:type="spellEnd"/>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The Consumer Federation of America</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National Consumers Law Center</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Massachusetts Union Of Public Housing Tenants</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Texas Ratepayers' Organization to Save Energy</w:t>
            </w:r>
          </w:p>
          <w:p w:rsidR="00007C87" w:rsidRPr="00D47423" w:rsidRDefault="00007C87" w:rsidP="00F80886">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19" w:type="dxa"/>
          </w:tcPr>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DOE should withdraw rulemaking since analysis is erroneous</w:t>
            </w:r>
          </w:p>
        </w:tc>
        <w:tc>
          <w:tcPr>
            <w:tcW w:w="2481" w:type="dxa"/>
          </w:tcPr>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SCG</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AGA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APGA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AHRI</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HARDI</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ACCA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NAHB</w:t>
            </w:r>
          </w:p>
        </w:tc>
      </w:tr>
    </w:tbl>
    <w:p w:rsidR="00F80886" w:rsidRPr="00A07830" w:rsidRDefault="00F80886" w:rsidP="00F80886">
      <w:pPr>
        <w:rPr>
          <w:rFonts w:asciiTheme="majorHAnsi" w:hAnsiTheme="majorHAnsi"/>
        </w:rPr>
      </w:pPr>
    </w:p>
    <w:p w:rsidR="00966051" w:rsidRPr="00A07830" w:rsidRDefault="00966051" w:rsidP="00C84E04">
      <w:pPr>
        <w:rPr>
          <w:rFonts w:asciiTheme="majorHAnsi" w:hAnsiTheme="majorHAnsi"/>
          <w:sz w:val="22"/>
          <w:szCs w:val="22"/>
        </w:rPr>
      </w:pPr>
    </w:p>
    <w:p w:rsidR="004635C0" w:rsidRPr="00D47423" w:rsidRDefault="004635C0" w:rsidP="004635C0">
      <w:pPr>
        <w:autoSpaceDE w:val="0"/>
        <w:autoSpaceDN w:val="0"/>
        <w:adjustRightInd w:val="0"/>
        <w:rPr>
          <w:rFonts w:asciiTheme="majorHAnsi" w:hAnsiTheme="majorHAnsi" w:cs="Arial"/>
          <w:b/>
          <w:bCs/>
          <w:sz w:val="32"/>
          <w:szCs w:val="32"/>
        </w:rPr>
      </w:pPr>
      <w:r w:rsidRPr="00D47423">
        <w:rPr>
          <w:rFonts w:asciiTheme="majorHAnsi" w:hAnsiTheme="majorHAnsi" w:cs="Arial"/>
          <w:b/>
          <w:bCs/>
          <w:sz w:val="32"/>
          <w:szCs w:val="32"/>
        </w:rPr>
        <w:lastRenderedPageBreak/>
        <w:t>2012 CALIFORNIA GAS REPORT</w:t>
      </w:r>
    </w:p>
    <w:p w:rsidR="004635C0" w:rsidRPr="00D47423" w:rsidRDefault="004635C0" w:rsidP="004635C0">
      <w:pPr>
        <w:autoSpaceDE w:val="0"/>
        <w:autoSpaceDN w:val="0"/>
        <w:adjustRightInd w:val="0"/>
        <w:rPr>
          <w:rFonts w:asciiTheme="majorHAnsi" w:hAnsiTheme="majorHAnsi" w:cs="Arial"/>
          <w:b/>
          <w:bCs/>
          <w:sz w:val="16"/>
          <w:szCs w:val="19"/>
        </w:rPr>
      </w:pPr>
      <w:r w:rsidRPr="00D47423">
        <w:rPr>
          <w:rFonts w:asciiTheme="majorHAnsi" w:hAnsiTheme="majorHAnsi" w:cs="Arial"/>
          <w:b/>
          <w:bCs/>
          <w:sz w:val="20"/>
        </w:rPr>
        <w:t>P</w:t>
      </w:r>
      <w:r w:rsidRPr="00D47423">
        <w:rPr>
          <w:rFonts w:asciiTheme="majorHAnsi" w:hAnsiTheme="majorHAnsi" w:cs="Arial"/>
          <w:b/>
          <w:bCs/>
          <w:sz w:val="16"/>
          <w:szCs w:val="19"/>
        </w:rPr>
        <w:t xml:space="preserve">REPARED BY THE </w:t>
      </w:r>
      <w:r w:rsidRPr="00D47423">
        <w:rPr>
          <w:rFonts w:asciiTheme="majorHAnsi" w:hAnsiTheme="majorHAnsi" w:cs="Arial"/>
          <w:b/>
          <w:bCs/>
          <w:sz w:val="20"/>
        </w:rPr>
        <w:t>C</w:t>
      </w:r>
      <w:r w:rsidRPr="00D47423">
        <w:rPr>
          <w:rFonts w:asciiTheme="majorHAnsi" w:hAnsiTheme="majorHAnsi" w:cs="Arial"/>
          <w:b/>
          <w:bCs/>
          <w:sz w:val="16"/>
          <w:szCs w:val="19"/>
        </w:rPr>
        <w:t xml:space="preserve">ALIFORNIA </w:t>
      </w:r>
      <w:r w:rsidRPr="00D47423">
        <w:rPr>
          <w:rFonts w:asciiTheme="majorHAnsi" w:hAnsiTheme="majorHAnsi" w:cs="Arial"/>
          <w:b/>
          <w:bCs/>
          <w:sz w:val="20"/>
        </w:rPr>
        <w:t>G</w:t>
      </w:r>
      <w:r w:rsidRPr="00D47423">
        <w:rPr>
          <w:rFonts w:asciiTheme="majorHAnsi" w:hAnsiTheme="majorHAnsi" w:cs="Arial"/>
          <w:b/>
          <w:bCs/>
          <w:sz w:val="16"/>
          <w:szCs w:val="19"/>
        </w:rPr>
        <w:t xml:space="preserve">AS AND </w:t>
      </w:r>
      <w:r w:rsidRPr="00D47423">
        <w:rPr>
          <w:rFonts w:asciiTheme="majorHAnsi" w:hAnsiTheme="majorHAnsi" w:cs="Arial"/>
          <w:b/>
          <w:bCs/>
          <w:sz w:val="20"/>
        </w:rPr>
        <w:t>E</w:t>
      </w:r>
      <w:r w:rsidRPr="00D47423">
        <w:rPr>
          <w:rFonts w:asciiTheme="majorHAnsi" w:hAnsiTheme="majorHAnsi" w:cs="Arial"/>
          <w:b/>
          <w:bCs/>
          <w:sz w:val="16"/>
          <w:szCs w:val="19"/>
        </w:rPr>
        <w:t xml:space="preserve">LECTRIC </w:t>
      </w:r>
      <w:r w:rsidRPr="00D47423">
        <w:rPr>
          <w:rFonts w:asciiTheme="majorHAnsi" w:hAnsiTheme="majorHAnsi" w:cs="Arial"/>
          <w:b/>
          <w:bCs/>
          <w:sz w:val="20"/>
        </w:rPr>
        <w:t>U</w:t>
      </w:r>
      <w:r w:rsidRPr="00D47423">
        <w:rPr>
          <w:rFonts w:asciiTheme="majorHAnsi" w:hAnsiTheme="majorHAnsi" w:cs="Arial"/>
          <w:b/>
          <w:bCs/>
          <w:sz w:val="16"/>
          <w:szCs w:val="19"/>
        </w:rPr>
        <w:t>TILITIES</w:t>
      </w:r>
    </w:p>
    <w:p w:rsidR="00C10B99" w:rsidRDefault="00C10B99" w:rsidP="00C10B99">
      <w:pPr>
        <w:rPr>
          <w:rFonts w:asciiTheme="majorHAnsi" w:hAnsiTheme="majorHAnsi"/>
          <w:sz w:val="22"/>
          <w:szCs w:val="22"/>
        </w:rPr>
      </w:pPr>
    </w:p>
    <w:p w:rsidR="00007C87" w:rsidRDefault="00007C87" w:rsidP="00C10B99">
      <w:pPr>
        <w:rPr>
          <w:rFonts w:asciiTheme="majorHAnsi" w:hAnsiTheme="majorHAnsi"/>
          <w:sz w:val="22"/>
          <w:szCs w:val="22"/>
        </w:rPr>
      </w:pPr>
      <w:r>
        <w:rPr>
          <w:rFonts w:asciiTheme="majorHAnsi" w:hAnsiTheme="majorHAnsi"/>
          <w:sz w:val="22"/>
          <w:szCs w:val="22"/>
        </w:rPr>
        <w:t>The California Gas Report (CGR) includes in its projections the impact of gas energy efficiency standards which</w:t>
      </w:r>
      <w:r w:rsidR="00D47423">
        <w:rPr>
          <w:rFonts w:asciiTheme="majorHAnsi" w:hAnsiTheme="majorHAnsi"/>
          <w:sz w:val="22"/>
          <w:szCs w:val="22"/>
        </w:rPr>
        <w:t>,</w:t>
      </w:r>
      <w:r>
        <w:rPr>
          <w:rFonts w:asciiTheme="majorHAnsi" w:hAnsiTheme="majorHAnsi"/>
          <w:sz w:val="22"/>
          <w:szCs w:val="22"/>
        </w:rPr>
        <w:t xml:space="preserve"> while important</w:t>
      </w:r>
      <w:r w:rsidR="00D47423">
        <w:rPr>
          <w:rFonts w:asciiTheme="majorHAnsi" w:hAnsiTheme="majorHAnsi"/>
          <w:sz w:val="22"/>
          <w:szCs w:val="22"/>
        </w:rPr>
        <w:t>,</w:t>
      </w:r>
      <w:r>
        <w:rPr>
          <w:rFonts w:asciiTheme="majorHAnsi" w:hAnsiTheme="majorHAnsi"/>
          <w:sz w:val="22"/>
          <w:szCs w:val="22"/>
        </w:rPr>
        <w:t xml:space="preserve"> are minor compared to electricity production savings.</w:t>
      </w:r>
    </w:p>
    <w:p w:rsidR="00007C87" w:rsidRPr="00A07830" w:rsidRDefault="00007C87" w:rsidP="00C10B99">
      <w:pPr>
        <w:rPr>
          <w:rFonts w:asciiTheme="majorHAnsi" w:hAnsiTheme="majorHAnsi"/>
          <w:sz w:val="22"/>
          <w:szCs w:val="22"/>
        </w:rPr>
      </w:pPr>
    </w:p>
    <w:p w:rsidR="00FF158F" w:rsidRPr="00D47423" w:rsidRDefault="00FF158F" w:rsidP="00FF158F">
      <w:pPr>
        <w:autoSpaceDE w:val="0"/>
        <w:autoSpaceDN w:val="0"/>
        <w:adjustRightInd w:val="0"/>
        <w:rPr>
          <w:rFonts w:asciiTheme="majorHAnsi" w:hAnsiTheme="majorHAnsi" w:cs="Arial"/>
          <w:b/>
          <w:bCs/>
        </w:rPr>
      </w:pPr>
      <w:r>
        <w:rPr>
          <w:rFonts w:ascii="Arial" w:hAnsi="Arial" w:cs="Arial"/>
          <w:b/>
          <w:bCs/>
        </w:rPr>
        <w:t>“</w:t>
      </w:r>
      <w:r w:rsidRPr="00D47423">
        <w:rPr>
          <w:rFonts w:asciiTheme="majorHAnsi" w:hAnsiTheme="majorHAnsi" w:cs="Arial"/>
          <w:b/>
          <w:bCs/>
        </w:rPr>
        <w:t>Residential</w:t>
      </w:r>
    </w:p>
    <w:p w:rsidR="00FF158F" w:rsidRPr="00D47423" w:rsidRDefault="00FF158F" w:rsidP="00FF158F">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Households in the PG&amp;E service area are forecast to grow 0.8 percent annually from</w:t>
      </w:r>
    </w:p>
    <w:p w:rsidR="00FF158F" w:rsidRPr="00D47423" w:rsidRDefault="00FF158F" w:rsidP="00FF158F">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2012 to 2030. However, gas use per household has been dropping in recent years due to</w:t>
      </w:r>
      <w:r w:rsidR="004635C0" w:rsidRPr="00D47423">
        <w:rPr>
          <w:rFonts w:asciiTheme="majorHAnsi" w:hAnsiTheme="majorHAnsi" w:cs="BookAntiqua"/>
          <w:sz w:val="22"/>
          <w:szCs w:val="22"/>
        </w:rPr>
        <w:t xml:space="preserve"> </w:t>
      </w:r>
      <w:r w:rsidRPr="00D47423">
        <w:rPr>
          <w:rFonts w:asciiTheme="majorHAnsi" w:hAnsiTheme="majorHAnsi" w:cs="BookAntiqua"/>
          <w:sz w:val="22"/>
          <w:szCs w:val="22"/>
        </w:rPr>
        <w:t xml:space="preserve">improvements in appliance and building-shell efficiencies. </w:t>
      </w:r>
      <w:r w:rsidRPr="00D47423">
        <w:rPr>
          <w:rFonts w:asciiTheme="majorHAnsi" w:hAnsiTheme="majorHAnsi" w:cs="BookAntiqua"/>
          <w:sz w:val="22"/>
          <w:szCs w:val="22"/>
        </w:rPr>
        <w:t xml:space="preserve">… </w:t>
      </w:r>
      <w:r w:rsidRPr="00D47423">
        <w:rPr>
          <w:rFonts w:asciiTheme="majorHAnsi" w:hAnsiTheme="majorHAnsi" w:cs="BookAntiqua"/>
          <w:sz w:val="22"/>
          <w:szCs w:val="22"/>
        </w:rPr>
        <w:t>Due to expected</w:t>
      </w:r>
      <w:r w:rsidR="004635C0" w:rsidRPr="00D47423">
        <w:rPr>
          <w:rFonts w:asciiTheme="majorHAnsi" w:hAnsiTheme="majorHAnsi" w:cs="BookAntiqua"/>
          <w:sz w:val="22"/>
          <w:szCs w:val="22"/>
        </w:rPr>
        <w:t xml:space="preserve"> </w:t>
      </w:r>
      <w:r w:rsidRPr="00D47423">
        <w:rPr>
          <w:rFonts w:asciiTheme="majorHAnsi" w:hAnsiTheme="majorHAnsi" w:cs="BookAntiqua"/>
          <w:sz w:val="22"/>
          <w:szCs w:val="22"/>
        </w:rPr>
        <w:t>continuing upgrades in appliance and building efficiencies, as well as warming temperatures,</w:t>
      </w:r>
    </w:p>
    <w:p w:rsidR="00FF158F" w:rsidRPr="00D47423" w:rsidRDefault="00FF158F" w:rsidP="00FF158F">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forecasts total residential demand to decline on average by 0.1 percent per year from</w:t>
      </w:r>
    </w:p>
    <w:p w:rsidR="00FF158F" w:rsidRPr="00D47423" w:rsidRDefault="00FF158F" w:rsidP="00FF158F">
      <w:pPr>
        <w:rPr>
          <w:rFonts w:asciiTheme="majorHAnsi" w:hAnsiTheme="majorHAnsi" w:cs="BookAntiqua"/>
          <w:sz w:val="22"/>
          <w:szCs w:val="22"/>
        </w:rPr>
      </w:pPr>
      <w:r w:rsidRPr="00D47423">
        <w:rPr>
          <w:rFonts w:asciiTheme="majorHAnsi" w:hAnsiTheme="majorHAnsi" w:cs="BookAntiqua"/>
          <w:sz w:val="22"/>
          <w:szCs w:val="22"/>
        </w:rPr>
        <w:t>2012 to 2030, implying an average decrease in gas use per household of 1.0 percent per year.</w:t>
      </w:r>
      <w:r w:rsidRPr="00D47423">
        <w:rPr>
          <w:rFonts w:asciiTheme="majorHAnsi" w:hAnsiTheme="majorHAnsi" w:cs="BookAntiqua"/>
          <w:sz w:val="22"/>
          <w:szCs w:val="22"/>
        </w:rPr>
        <w:t>”</w:t>
      </w:r>
      <w:r w:rsidR="004635C0" w:rsidRPr="00D47423">
        <w:rPr>
          <w:rFonts w:asciiTheme="majorHAnsi" w:hAnsiTheme="majorHAnsi" w:cs="BookAntiqua"/>
          <w:sz w:val="22"/>
          <w:szCs w:val="22"/>
        </w:rPr>
        <w:t xml:space="preserve"> (p. 37)</w:t>
      </w:r>
    </w:p>
    <w:p w:rsidR="00FF158F" w:rsidRDefault="00FF158F" w:rsidP="00857D3C"/>
    <w:p w:rsidR="00FF158F" w:rsidRPr="00D47423" w:rsidRDefault="00007C87" w:rsidP="00857D3C">
      <w:pPr>
        <w:rPr>
          <w:rFonts w:asciiTheme="majorHAnsi" w:hAnsiTheme="majorHAnsi"/>
          <w:sz w:val="22"/>
        </w:rPr>
      </w:pPr>
      <w:r w:rsidRPr="00D47423">
        <w:rPr>
          <w:rFonts w:asciiTheme="majorHAnsi" w:hAnsiTheme="majorHAnsi"/>
          <w:sz w:val="22"/>
        </w:rPr>
        <w:t xml:space="preserve">Electricity Savings </w:t>
      </w:r>
      <w:r w:rsidR="006872A9" w:rsidRPr="00D47423">
        <w:rPr>
          <w:rFonts w:asciiTheme="majorHAnsi" w:hAnsiTheme="majorHAnsi"/>
          <w:sz w:val="22"/>
        </w:rPr>
        <w:t xml:space="preserve">(shown in bright blue) </w:t>
      </w:r>
      <w:r w:rsidRPr="00D47423">
        <w:rPr>
          <w:rFonts w:asciiTheme="majorHAnsi" w:hAnsiTheme="majorHAnsi"/>
          <w:sz w:val="22"/>
        </w:rPr>
        <w:t>dominate the reduction in gas sales volume as shown by this chart. (p. 40)</w:t>
      </w:r>
    </w:p>
    <w:p w:rsidR="00FF158F" w:rsidRDefault="00FF158F" w:rsidP="00857D3C"/>
    <w:p w:rsidR="004635C0" w:rsidRDefault="004635C0" w:rsidP="00D47423">
      <w:pPr>
        <w:jc w:val="center"/>
      </w:pPr>
      <w:r>
        <w:rPr>
          <w:noProof/>
        </w:rPr>
        <w:drawing>
          <wp:inline distT="0" distB="0" distL="0" distR="0" wp14:anchorId="550D559B">
            <wp:extent cx="4252084" cy="2485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359" cy="2489852"/>
                    </a:xfrm>
                    <a:prstGeom prst="rect">
                      <a:avLst/>
                    </a:prstGeom>
                    <a:noFill/>
                  </pic:spPr>
                </pic:pic>
              </a:graphicData>
            </a:graphic>
          </wp:inline>
        </w:drawing>
      </w:r>
    </w:p>
    <w:p w:rsidR="004635C0" w:rsidRDefault="004635C0" w:rsidP="00857D3C"/>
    <w:p w:rsidR="004635C0" w:rsidRDefault="004635C0" w:rsidP="00857D3C"/>
    <w:p w:rsidR="00007C87" w:rsidRPr="00D47423" w:rsidRDefault="00007C87" w:rsidP="00007C87">
      <w:pPr>
        <w:autoSpaceDE w:val="0"/>
        <w:autoSpaceDN w:val="0"/>
        <w:adjustRightInd w:val="0"/>
        <w:rPr>
          <w:rFonts w:asciiTheme="majorHAnsi" w:hAnsiTheme="majorHAnsi" w:cs="Arial"/>
          <w:b/>
          <w:bCs/>
          <w:sz w:val="28"/>
          <w:szCs w:val="28"/>
        </w:rPr>
      </w:pPr>
      <w:r w:rsidRPr="00D47423">
        <w:rPr>
          <w:rFonts w:asciiTheme="majorHAnsi" w:hAnsiTheme="majorHAnsi" w:cs="Arial"/>
          <w:b/>
          <w:bCs/>
          <w:sz w:val="28"/>
          <w:szCs w:val="28"/>
        </w:rPr>
        <w:t>“</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REENHOUSE </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AS </w:t>
      </w:r>
      <w:r w:rsidRPr="00D47423">
        <w:rPr>
          <w:rFonts w:asciiTheme="majorHAnsi" w:hAnsiTheme="majorHAnsi" w:cs="Arial"/>
          <w:b/>
          <w:bCs/>
          <w:sz w:val="28"/>
          <w:szCs w:val="28"/>
        </w:rPr>
        <w:t>L</w:t>
      </w:r>
      <w:r w:rsidRPr="00D47423">
        <w:rPr>
          <w:rFonts w:asciiTheme="majorHAnsi" w:hAnsiTheme="majorHAnsi" w:cs="Arial"/>
          <w:b/>
          <w:bCs/>
          <w:sz w:val="22"/>
          <w:szCs w:val="22"/>
        </w:rPr>
        <w:t xml:space="preserve">EGISLATION </w:t>
      </w:r>
      <w:r w:rsidRPr="00D47423">
        <w:rPr>
          <w:rFonts w:asciiTheme="majorHAnsi" w:hAnsiTheme="majorHAnsi" w:cs="Arial"/>
          <w:b/>
          <w:bCs/>
          <w:sz w:val="28"/>
          <w:szCs w:val="28"/>
        </w:rPr>
        <w:t>/ AB32</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 xml:space="preserve">During the forecast horizon covered by this CGR, there are many uncertainties that may significantly impact the future trajectory of natural gas demand. </w:t>
      </w:r>
      <w:r w:rsidR="006872A9" w:rsidRPr="00D47423">
        <w:rPr>
          <w:rFonts w:asciiTheme="majorHAnsi" w:hAnsiTheme="majorHAnsi" w:cs="BookAntiqua"/>
          <w:sz w:val="22"/>
          <w:szCs w:val="22"/>
        </w:rPr>
        <w:t xml:space="preserve">… </w:t>
      </w:r>
      <w:r w:rsidRPr="00D47423">
        <w:rPr>
          <w:rFonts w:asciiTheme="majorHAnsi" w:hAnsiTheme="majorHAnsi" w:cs="BookAntiqua"/>
          <w:sz w:val="22"/>
          <w:szCs w:val="22"/>
        </w:rPr>
        <w:t>On the one hand, more aggressive energy efficiency programs and/or increased targets for renewable electricity supplies could significantly reduce the use of natural gas by residential and commercial customers and power plants. On the other hand, increased penetration of electric and natural gas vehicles could reduce gasoline use and overall greenhouse gas (GHG) emissions, but increase consumption of natural gas.</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will continue to minimize GHG emissions by aggressively pursuing both demand-side reductions and acquisition of preferred resources, which produce little or no carbon emissions.</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r w:rsidRPr="00D47423">
        <w:rPr>
          <w:rFonts w:asciiTheme="majorHAnsi" w:hAnsiTheme="majorHAnsi" w:cs="BookAntiqua"/>
          <w:sz w:val="22"/>
          <w:szCs w:val="22"/>
        </w:rPr>
        <w:t>(</w:t>
      </w:r>
      <w:r w:rsidRPr="00D47423">
        <w:rPr>
          <w:rFonts w:asciiTheme="majorHAnsi" w:hAnsiTheme="majorHAnsi" w:cs="BookAntiqua"/>
          <w:sz w:val="22"/>
          <w:szCs w:val="22"/>
        </w:rPr>
        <w:t>p. 39</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p>
    <w:p w:rsidR="00007C87" w:rsidRDefault="00007C87" w:rsidP="00007C87">
      <w:pPr>
        <w:rPr>
          <w:rFonts w:ascii="BookAntiqua" w:hAnsi="BookAntiqua" w:cs="BookAntiqua"/>
          <w:sz w:val="22"/>
          <w:szCs w:val="22"/>
        </w:rPr>
      </w:pPr>
    </w:p>
    <w:p w:rsidR="00007C87" w:rsidRPr="00D47423" w:rsidRDefault="00007C87" w:rsidP="00007C87">
      <w:pPr>
        <w:rPr>
          <w:rFonts w:asciiTheme="majorHAnsi" w:hAnsiTheme="majorHAnsi" w:cstheme="minorHAnsi"/>
          <w:b/>
        </w:rPr>
      </w:pPr>
      <w:r w:rsidRPr="00D47423">
        <w:rPr>
          <w:rFonts w:asciiTheme="majorHAnsi" w:hAnsiTheme="majorHAnsi" w:cstheme="minorHAnsi"/>
          <w:b/>
        </w:rPr>
        <w:lastRenderedPageBreak/>
        <w:t>Extreme Impact Case:  All Furnaces Condensing</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Data from 2013 Monthly by County</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 xml:space="preserve">1 Billion Therms used for heating </w:t>
      </w:r>
    </w:p>
    <w:p w:rsidR="00007C87" w:rsidRPr="00D47423" w:rsidRDefault="006872A9" w:rsidP="00007C87">
      <w:pPr>
        <w:pStyle w:val="ListParagraph"/>
        <w:numPr>
          <w:ilvl w:val="0"/>
          <w:numId w:val="23"/>
        </w:numPr>
        <w:rPr>
          <w:rFonts w:asciiTheme="majorHAnsi" w:hAnsiTheme="majorHAnsi"/>
        </w:rPr>
      </w:pPr>
      <w:r w:rsidRPr="00D47423">
        <w:rPr>
          <w:rFonts w:asciiTheme="majorHAnsi" w:hAnsiTheme="majorHAnsi"/>
        </w:rPr>
        <w:t>A</w:t>
      </w:r>
      <w:r w:rsidR="00007C87" w:rsidRPr="00D47423">
        <w:rPr>
          <w:rFonts w:asciiTheme="majorHAnsi" w:hAnsiTheme="majorHAnsi"/>
        </w:rPr>
        <w:t>ll furnaces are condensing (will not occur till 2050)</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13% heating savings</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5% residential natural gas reduction</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1 % reduction in PG&amp;E Gas Volume</w:t>
      </w:r>
      <w:r w:rsidR="006872A9" w:rsidRPr="00D47423">
        <w:rPr>
          <w:rFonts w:asciiTheme="majorHAnsi" w:hAnsiTheme="majorHAnsi"/>
        </w:rPr>
        <w:t xml:space="preserve"> </w:t>
      </w:r>
    </w:p>
    <w:p w:rsidR="004635C0" w:rsidRDefault="004635C0" w:rsidP="00857D3C"/>
    <w:p w:rsidR="006872A9" w:rsidRPr="006872A9" w:rsidRDefault="006872A9" w:rsidP="00857D3C">
      <w:pPr>
        <w:rPr>
          <w:b/>
        </w:rPr>
      </w:pPr>
      <w:r w:rsidRPr="006872A9">
        <w:rPr>
          <w:b/>
        </w:rPr>
        <w:t xml:space="preserve">Condensing Furnaces more </w:t>
      </w:r>
      <w:r w:rsidR="00D47423" w:rsidRPr="006872A9">
        <w:rPr>
          <w:b/>
        </w:rPr>
        <w:t>Compe</w:t>
      </w:r>
      <w:r w:rsidR="00D47423">
        <w:rPr>
          <w:b/>
        </w:rPr>
        <w:t>ti</w:t>
      </w:r>
      <w:r w:rsidR="00D47423" w:rsidRPr="006872A9">
        <w:rPr>
          <w:b/>
        </w:rPr>
        <w:t>tive</w:t>
      </w:r>
    </w:p>
    <w:p w:rsidR="004635C0" w:rsidRDefault="006872A9" w:rsidP="00857D3C">
      <w:r>
        <w:t xml:space="preserve">Condensing Standard makes Furnaces more competitive with Heat pumps for which standards have been steadily increasing.  </w:t>
      </w:r>
      <w:r w:rsidR="00D47423">
        <w:t xml:space="preserve">When a high efficiency alliance becomes the standard then costs are reduced. </w:t>
      </w:r>
      <w:r>
        <w:t>With condensing</w:t>
      </w:r>
      <w:r w:rsidR="00D47423">
        <w:t xml:space="preserve"> as</w:t>
      </w:r>
      <w:r>
        <w:t xml:space="preserve"> the minimum furnace efficiency </w:t>
      </w:r>
      <w:r w:rsidR="00D47423">
        <w:t xml:space="preserve">the high efficiency furnace </w:t>
      </w:r>
      <w:r>
        <w:t>will cost less than the competing high efficiency heat pump.</w:t>
      </w:r>
    </w:p>
    <w:p w:rsidR="00D47423" w:rsidRDefault="00D47423" w:rsidP="00857D3C"/>
    <w:p w:rsidR="004635C0" w:rsidRDefault="006872A9" w:rsidP="006872A9">
      <w:pPr>
        <w:jc w:val="center"/>
      </w:pPr>
      <w:r>
        <w:rPr>
          <w:noProof/>
        </w:rPr>
        <w:drawing>
          <wp:inline distT="0" distB="0" distL="0" distR="0" wp14:anchorId="515CB1CC" wp14:editId="6C1DC323">
            <wp:extent cx="4081670" cy="3233530"/>
            <wp:effectExtent l="0" t="0" r="1460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2A9" w:rsidRDefault="006872A9" w:rsidP="00857D3C"/>
    <w:p w:rsidR="006872A9" w:rsidRDefault="00D47423" w:rsidP="00857D3C">
      <w:pPr>
        <w:rPr>
          <w:rFonts w:asciiTheme="majorHAnsi" w:hAnsiTheme="majorHAnsi"/>
          <w:b/>
        </w:rPr>
      </w:pPr>
      <w:r>
        <w:rPr>
          <w:rFonts w:asciiTheme="majorHAnsi" w:hAnsiTheme="majorHAnsi"/>
          <w:b/>
        </w:rPr>
        <w:t>We Stand</w:t>
      </w:r>
      <w:r w:rsidRPr="00D47423">
        <w:rPr>
          <w:rFonts w:asciiTheme="majorHAnsi" w:hAnsiTheme="majorHAnsi"/>
          <w:b/>
        </w:rPr>
        <w:t xml:space="preserve"> with our Customer</w:t>
      </w:r>
      <w:r>
        <w:rPr>
          <w:rFonts w:asciiTheme="majorHAnsi" w:hAnsiTheme="majorHAnsi"/>
          <w:b/>
        </w:rPr>
        <w:t xml:space="preserve"> by Supporting Condensing </w:t>
      </w:r>
      <w:r w:rsidR="00A645E8">
        <w:rPr>
          <w:rFonts w:asciiTheme="majorHAnsi" w:hAnsiTheme="majorHAnsi"/>
          <w:b/>
        </w:rPr>
        <w:t>Furnaces</w:t>
      </w:r>
    </w:p>
    <w:p w:rsidR="00D47423" w:rsidRPr="00A645E8" w:rsidRDefault="00D47423" w:rsidP="00D47423">
      <w:pPr>
        <w:pStyle w:val="ListParagraph"/>
        <w:numPr>
          <w:ilvl w:val="0"/>
          <w:numId w:val="24"/>
        </w:numPr>
        <w:rPr>
          <w:rFonts w:asciiTheme="majorHAnsi" w:hAnsiTheme="majorHAnsi"/>
        </w:rPr>
      </w:pPr>
      <w:r w:rsidRPr="00A645E8">
        <w:rPr>
          <w:rFonts w:asciiTheme="majorHAnsi" w:hAnsiTheme="majorHAnsi"/>
        </w:rPr>
        <w:t>Half of households are tenants</w:t>
      </w:r>
    </w:p>
    <w:p w:rsidR="00D47423" w:rsidRPr="00A645E8" w:rsidRDefault="00A645E8" w:rsidP="00D47423">
      <w:pPr>
        <w:pStyle w:val="ListParagraph"/>
        <w:numPr>
          <w:ilvl w:val="0"/>
          <w:numId w:val="24"/>
        </w:numPr>
        <w:rPr>
          <w:rFonts w:asciiTheme="majorHAnsi" w:hAnsiTheme="majorHAnsi"/>
        </w:rPr>
      </w:pPr>
      <w:r w:rsidRPr="00A645E8">
        <w:rPr>
          <w:rFonts w:asciiTheme="majorHAnsi" w:hAnsiTheme="majorHAnsi"/>
        </w:rPr>
        <w:t>More than half of new houses (2010 to 2030) will be tenants</w:t>
      </w:r>
    </w:p>
    <w:p w:rsidR="00A645E8" w:rsidRPr="00A645E8" w:rsidRDefault="00A645E8" w:rsidP="00D47423">
      <w:pPr>
        <w:pStyle w:val="ListParagraph"/>
        <w:numPr>
          <w:ilvl w:val="0"/>
          <w:numId w:val="24"/>
        </w:numPr>
        <w:rPr>
          <w:rFonts w:asciiTheme="majorHAnsi" w:hAnsiTheme="majorHAnsi"/>
        </w:rPr>
      </w:pPr>
      <w:r w:rsidRPr="00A645E8">
        <w:rPr>
          <w:rFonts w:asciiTheme="majorHAnsi" w:hAnsiTheme="majorHAnsi"/>
        </w:rPr>
        <w:t xml:space="preserve">DOE analysis did not consider tenant costs and benefits </w:t>
      </w:r>
    </w:p>
    <w:p w:rsidR="00A645E8" w:rsidRPr="00A645E8" w:rsidRDefault="00A645E8" w:rsidP="00D47423">
      <w:pPr>
        <w:pStyle w:val="ListParagraph"/>
        <w:numPr>
          <w:ilvl w:val="0"/>
          <w:numId w:val="24"/>
        </w:numPr>
        <w:rPr>
          <w:rFonts w:asciiTheme="majorHAnsi" w:hAnsiTheme="majorHAnsi"/>
        </w:rPr>
      </w:pPr>
      <w:r w:rsidRPr="00A645E8">
        <w:rPr>
          <w:rFonts w:asciiTheme="majorHAnsi" w:hAnsiTheme="majorHAnsi"/>
        </w:rPr>
        <w:t>Rents are location driven, not driven</w:t>
      </w:r>
      <w:r>
        <w:rPr>
          <w:rFonts w:asciiTheme="majorHAnsi" w:hAnsiTheme="majorHAnsi"/>
        </w:rPr>
        <w:t xml:space="preserve"> by</w:t>
      </w:r>
      <w:r w:rsidRPr="00A645E8">
        <w:rPr>
          <w:rFonts w:asciiTheme="majorHAnsi" w:hAnsiTheme="majorHAnsi"/>
        </w:rPr>
        <w:t xml:space="preserve"> repair and replacement costs </w:t>
      </w:r>
    </w:p>
    <w:p w:rsidR="00A645E8" w:rsidRPr="00A645E8" w:rsidRDefault="00A645E8" w:rsidP="00D47423">
      <w:pPr>
        <w:pStyle w:val="ListParagraph"/>
        <w:numPr>
          <w:ilvl w:val="0"/>
          <w:numId w:val="24"/>
        </w:numPr>
        <w:rPr>
          <w:rFonts w:asciiTheme="majorHAnsi" w:hAnsiTheme="majorHAnsi"/>
          <w:b/>
        </w:rPr>
      </w:pPr>
      <w:r w:rsidRPr="00A645E8">
        <w:rPr>
          <w:rFonts w:asciiTheme="majorHAnsi" w:hAnsiTheme="majorHAnsi"/>
        </w:rPr>
        <w:t>Landlords have not incentive to install anything but minimum efficiency units</w:t>
      </w:r>
    </w:p>
    <w:p w:rsidR="00A645E8" w:rsidRPr="00A645E8" w:rsidRDefault="00A645E8" w:rsidP="00D47423">
      <w:pPr>
        <w:pStyle w:val="ListParagraph"/>
        <w:numPr>
          <w:ilvl w:val="0"/>
          <w:numId w:val="24"/>
        </w:numPr>
        <w:rPr>
          <w:rFonts w:asciiTheme="majorHAnsi" w:hAnsiTheme="majorHAnsi"/>
          <w:b/>
        </w:rPr>
      </w:pPr>
      <w:r>
        <w:rPr>
          <w:rFonts w:asciiTheme="majorHAnsi" w:hAnsiTheme="majorHAnsi"/>
        </w:rPr>
        <w:t>NOx limits, set based on health impacts, are met using condensing furnaces</w:t>
      </w:r>
    </w:p>
    <w:p w:rsidR="00A645E8" w:rsidRPr="00D47423" w:rsidRDefault="00A645E8" w:rsidP="00D47423">
      <w:pPr>
        <w:pStyle w:val="ListParagraph"/>
        <w:numPr>
          <w:ilvl w:val="0"/>
          <w:numId w:val="24"/>
        </w:numPr>
        <w:rPr>
          <w:rFonts w:asciiTheme="majorHAnsi" w:hAnsiTheme="majorHAnsi"/>
          <w:b/>
        </w:rPr>
      </w:pPr>
      <w:bookmarkStart w:id="0" w:name="_GoBack"/>
      <w:bookmarkEnd w:id="0"/>
    </w:p>
    <w:p w:rsidR="006872A9" w:rsidRPr="00D47423" w:rsidRDefault="006872A9" w:rsidP="00857D3C">
      <w:pPr>
        <w:rPr>
          <w:rFonts w:asciiTheme="majorHAnsi" w:hAnsiTheme="majorHAnsi"/>
          <w:b/>
        </w:rPr>
      </w:pPr>
    </w:p>
    <w:p w:rsidR="00857D3C" w:rsidRDefault="00857D3C" w:rsidP="00857D3C">
      <w:r>
        <w:t xml:space="preserve">Let’s include a C&amp;S recommendation that we not only stand firm on our support for DOE standards, but take this opportunity to demonstrate PG&amp;E leadership at a nation </w:t>
      </w:r>
      <w:r>
        <w:lastRenderedPageBreak/>
        <w:t>level by taking a more public stand.  We are taking a principled stand on the basis of strong research and analysis by DOE, PG&amp;E, and the CEC.</w:t>
      </w:r>
    </w:p>
    <w:p w:rsidR="00857D3C" w:rsidRDefault="00857D3C" w:rsidP="00857D3C">
      <w:r>
        <w:t>No doubt, you can improve on this.</w:t>
      </w:r>
    </w:p>
    <w:p w:rsidR="00857D3C" w:rsidRDefault="00857D3C" w:rsidP="00857D3C">
      <w:pPr>
        <w:rPr>
          <w:rFonts w:cs="Calibri"/>
          <w:noProof/>
          <w:color w:val="000000"/>
        </w:rPr>
      </w:pPr>
      <w:r>
        <w:rPr>
          <w:rFonts w:cs="Calibri"/>
          <w:noProof/>
          <w:color w:val="000000"/>
        </w:rPr>
        <w:t>Thank you.</w:t>
      </w:r>
    </w:p>
    <w:p w:rsidR="00C10B99" w:rsidRPr="00A07830" w:rsidRDefault="00C10B99" w:rsidP="00C10B99">
      <w:pPr>
        <w:rPr>
          <w:rFonts w:asciiTheme="majorHAnsi" w:hAnsiTheme="majorHAnsi"/>
          <w:sz w:val="22"/>
          <w:szCs w:val="22"/>
        </w:rPr>
      </w:pPr>
    </w:p>
    <w:p w:rsidR="00C0020A" w:rsidRDefault="00C0020A" w:rsidP="00356076">
      <w:pPr>
        <w:spacing w:before="168" w:after="216"/>
        <w:rPr>
          <w:rFonts w:ascii="Arial" w:hAnsi="Arial" w:cs="Arial"/>
          <w:sz w:val="20"/>
          <w:szCs w:val="20"/>
          <w:lang w:val="en"/>
        </w:rPr>
      </w:pPr>
    </w:p>
    <w:p w:rsidR="00C0020A" w:rsidRPr="00356076" w:rsidRDefault="00C0020A" w:rsidP="00356076">
      <w:pPr>
        <w:spacing w:before="168" w:after="216"/>
        <w:rPr>
          <w:rFonts w:ascii="Arial" w:hAnsi="Arial" w:cs="Arial"/>
          <w:sz w:val="20"/>
          <w:szCs w:val="20"/>
          <w:lang w:val="en"/>
        </w:rPr>
      </w:pPr>
    </w:p>
    <w:p w:rsidR="00393411" w:rsidRDefault="00393411" w:rsidP="00393411">
      <w:pPr>
        <w:rPr>
          <w:rFonts w:asciiTheme="majorHAnsi" w:hAnsiTheme="majorHAnsi"/>
          <w:sz w:val="22"/>
          <w:szCs w:val="22"/>
        </w:rPr>
      </w:pPr>
    </w:p>
    <w:p w:rsidR="00393411" w:rsidRDefault="00393411" w:rsidP="00393411">
      <w:pPr>
        <w:rPr>
          <w:rFonts w:asciiTheme="majorHAnsi" w:hAnsiTheme="majorHAnsi"/>
          <w:sz w:val="22"/>
          <w:szCs w:val="22"/>
        </w:rPr>
      </w:pPr>
    </w:p>
    <w:p w:rsidR="00393411" w:rsidRDefault="00393411" w:rsidP="00393411">
      <w:pPr>
        <w:rPr>
          <w:rFonts w:asciiTheme="majorHAnsi" w:hAnsiTheme="majorHAnsi"/>
          <w:sz w:val="22"/>
          <w:szCs w:val="22"/>
        </w:rPr>
      </w:pPr>
    </w:p>
    <w:p w:rsidR="00393411" w:rsidRDefault="00393411" w:rsidP="00393411">
      <w:pPr>
        <w:rPr>
          <w:rFonts w:asciiTheme="majorHAnsi" w:hAnsiTheme="majorHAnsi"/>
          <w:sz w:val="22"/>
          <w:szCs w:val="22"/>
        </w:rPr>
      </w:pPr>
      <w:r>
        <w:rPr>
          <w:rFonts w:asciiTheme="majorHAnsi" w:hAnsiTheme="majorHAnsi"/>
          <w:sz w:val="22"/>
          <w:szCs w:val="22"/>
        </w:rPr>
        <w:t>p.40</w:t>
      </w:r>
    </w:p>
    <w:p w:rsidR="00393411" w:rsidRDefault="00393411" w:rsidP="00393411">
      <w:pPr>
        <w:rPr>
          <w:rFonts w:asciiTheme="majorHAnsi" w:hAnsiTheme="majorHAnsi"/>
          <w:sz w:val="22"/>
          <w:szCs w:val="22"/>
        </w:rPr>
      </w:pPr>
    </w:p>
    <w:p w:rsidR="00981680" w:rsidRDefault="00981680" w:rsidP="00393411">
      <w:pPr>
        <w:rPr>
          <w:rFonts w:ascii="Arial" w:hAnsi="Arial" w:cs="Arial"/>
        </w:rPr>
      </w:pPr>
    </w:p>
    <w:p w:rsidR="00981680" w:rsidRDefault="00981680" w:rsidP="00393411">
      <w:pPr>
        <w:rPr>
          <w:rFonts w:ascii="Arial" w:hAnsi="Arial" w:cs="Arial"/>
        </w:rPr>
      </w:pPr>
    </w:p>
    <w:p w:rsidR="00981680" w:rsidRPr="00981680" w:rsidRDefault="00981680" w:rsidP="00981680">
      <w:pPr>
        <w:rPr>
          <w:rFonts w:asciiTheme="majorHAnsi" w:hAnsiTheme="majorHAnsi"/>
        </w:rPr>
      </w:pPr>
    </w:p>
    <w:sectPr w:rsidR="00981680" w:rsidRPr="00981680" w:rsidSect="006F0AFB">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E7" w:rsidRDefault="00F047E7" w:rsidP="00C10B99">
      <w:r>
        <w:separator/>
      </w:r>
    </w:p>
  </w:endnote>
  <w:endnote w:type="continuationSeparator" w:id="0">
    <w:p w:rsidR="00F047E7" w:rsidRDefault="00F047E7"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E7" w:rsidRDefault="00F047E7" w:rsidP="00C10B99">
      <w:r>
        <w:separator/>
      </w:r>
    </w:p>
  </w:footnote>
  <w:footnote w:type="continuationSeparator" w:id="0">
    <w:p w:rsidR="00F047E7" w:rsidRDefault="00F047E7" w:rsidP="00C1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919D5"/>
    <w:multiLevelType w:val="hybridMultilevel"/>
    <w:tmpl w:val="651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9C1"/>
    <w:multiLevelType w:val="hybridMultilevel"/>
    <w:tmpl w:val="6BF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767D1"/>
    <w:multiLevelType w:val="hybridMultilevel"/>
    <w:tmpl w:val="DE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D00803"/>
    <w:multiLevelType w:val="hybridMultilevel"/>
    <w:tmpl w:val="009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DC4AFB"/>
    <w:multiLevelType w:val="hybridMultilevel"/>
    <w:tmpl w:val="6054F2B8"/>
    <w:lvl w:ilvl="0" w:tplc="1FD472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80785"/>
    <w:multiLevelType w:val="hybridMultilevel"/>
    <w:tmpl w:val="92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B7B1B"/>
    <w:multiLevelType w:val="hybridMultilevel"/>
    <w:tmpl w:val="E4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37AA2"/>
    <w:multiLevelType w:val="hybridMultilevel"/>
    <w:tmpl w:val="148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0"/>
  </w:num>
  <w:num w:numId="4">
    <w:abstractNumId w:val="12"/>
  </w:num>
  <w:num w:numId="5">
    <w:abstractNumId w:val="1"/>
  </w:num>
  <w:num w:numId="6">
    <w:abstractNumId w:val="13"/>
  </w:num>
  <w:num w:numId="7">
    <w:abstractNumId w:val="4"/>
  </w:num>
  <w:num w:numId="8">
    <w:abstractNumId w:val="3"/>
  </w:num>
  <w:num w:numId="9">
    <w:abstractNumId w:val="15"/>
  </w:num>
  <w:num w:numId="10">
    <w:abstractNumId w:val="5"/>
  </w:num>
  <w:num w:numId="11">
    <w:abstractNumId w:val="18"/>
  </w:num>
  <w:num w:numId="12">
    <w:abstractNumId w:val="10"/>
  </w:num>
  <w:num w:numId="13">
    <w:abstractNumId w:val="7"/>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6"/>
  </w:num>
  <w:num w:numId="18">
    <w:abstractNumId w:val="21"/>
  </w:num>
  <w:num w:numId="19">
    <w:abstractNumId w:val="11"/>
  </w:num>
  <w:num w:numId="20">
    <w:abstractNumId w:val="8"/>
  </w:num>
  <w:num w:numId="21">
    <w:abstractNumId w:val="2"/>
  </w:num>
  <w:num w:numId="22">
    <w:abstractNumId w:val="14"/>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07C87"/>
    <w:rsid w:val="000206CD"/>
    <w:rsid w:val="00021016"/>
    <w:rsid w:val="0002790C"/>
    <w:rsid w:val="00032B4B"/>
    <w:rsid w:val="0003716D"/>
    <w:rsid w:val="00046822"/>
    <w:rsid w:val="00061C9F"/>
    <w:rsid w:val="00070C3E"/>
    <w:rsid w:val="00094CE1"/>
    <w:rsid w:val="000C30C1"/>
    <w:rsid w:val="000D0AE8"/>
    <w:rsid w:val="000E2244"/>
    <w:rsid w:val="000E4ADB"/>
    <w:rsid w:val="000E7BC5"/>
    <w:rsid w:val="000F3696"/>
    <w:rsid w:val="001009B2"/>
    <w:rsid w:val="001012A7"/>
    <w:rsid w:val="00102422"/>
    <w:rsid w:val="00106C74"/>
    <w:rsid w:val="00123CFE"/>
    <w:rsid w:val="00125522"/>
    <w:rsid w:val="0012748D"/>
    <w:rsid w:val="00133112"/>
    <w:rsid w:val="001548FE"/>
    <w:rsid w:val="00154BCD"/>
    <w:rsid w:val="00161EF5"/>
    <w:rsid w:val="001662A1"/>
    <w:rsid w:val="00184D1F"/>
    <w:rsid w:val="00185E3B"/>
    <w:rsid w:val="0018776C"/>
    <w:rsid w:val="001A5A97"/>
    <w:rsid w:val="001A6E03"/>
    <w:rsid w:val="001B33F4"/>
    <w:rsid w:val="001C5668"/>
    <w:rsid w:val="001C56C8"/>
    <w:rsid w:val="001E1199"/>
    <w:rsid w:val="001E1ED9"/>
    <w:rsid w:val="001E57DA"/>
    <w:rsid w:val="00201829"/>
    <w:rsid w:val="00236FC0"/>
    <w:rsid w:val="002373BD"/>
    <w:rsid w:val="00237AD0"/>
    <w:rsid w:val="00253767"/>
    <w:rsid w:val="00280BA1"/>
    <w:rsid w:val="00287D92"/>
    <w:rsid w:val="0029192A"/>
    <w:rsid w:val="00293D29"/>
    <w:rsid w:val="002940B8"/>
    <w:rsid w:val="002A2650"/>
    <w:rsid w:val="002A2984"/>
    <w:rsid w:val="002B12AA"/>
    <w:rsid w:val="002C3024"/>
    <w:rsid w:val="002C6674"/>
    <w:rsid w:val="002D03F0"/>
    <w:rsid w:val="002D45F7"/>
    <w:rsid w:val="002D6EF5"/>
    <w:rsid w:val="002E6533"/>
    <w:rsid w:val="002F0E10"/>
    <w:rsid w:val="002F3358"/>
    <w:rsid w:val="003074F4"/>
    <w:rsid w:val="00310E0F"/>
    <w:rsid w:val="00325E7F"/>
    <w:rsid w:val="00326EE8"/>
    <w:rsid w:val="00327D59"/>
    <w:rsid w:val="00340024"/>
    <w:rsid w:val="00354E17"/>
    <w:rsid w:val="00356076"/>
    <w:rsid w:val="00360743"/>
    <w:rsid w:val="003718BC"/>
    <w:rsid w:val="00377382"/>
    <w:rsid w:val="00380970"/>
    <w:rsid w:val="00381EE8"/>
    <w:rsid w:val="00384B81"/>
    <w:rsid w:val="00392EC3"/>
    <w:rsid w:val="003931C4"/>
    <w:rsid w:val="00393411"/>
    <w:rsid w:val="003A4360"/>
    <w:rsid w:val="003B3713"/>
    <w:rsid w:val="003D064D"/>
    <w:rsid w:val="003D6BDD"/>
    <w:rsid w:val="003D6CDE"/>
    <w:rsid w:val="003E4C1B"/>
    <w:rsid w:val="003E6390"/>
    <w:rsid w:val="0040481C"/>
    <w:rsid w:val="004062C8"/>
    <w:rsid w:val="00407C1B"/>
    <w:rsid w:val="00411986"/>
    <w:rsid w:val="00412C2F"/>
    <w:rsid w:val="004316D1"/>
    <w:rsid w:val="00436027"/>
    <w:rsid w:val="004514B2"/>
    <w:rsid w:val="00451EBB"/>
    <w:rsid w:val="00454A29"/>
    <w:rsid w:val="004554FB"/>
    <w:rsid w:val="004634FC"/>
    <w:rsid w:val="004635C0"/>
    <w:rsid w:val="00475AE2"/>
    <w:rsid w:val="0047797E"/>
    <w:rsid w:val="004976E1"/>
    <w:rsid w:val="004A0559"/>
    <w:rsid w:val="004A6E90"/>
    <w:rsid w:val="004B188E"/>
    <w:rsid w:val="004C1D0F"/>
    <w:rsid w:val="004C6894"/>
    <w:rsid w:val="004D0DE2"/>
    <w:rsid w:val="004F2788"/>
    <w:rsid w:val="0051086F"/>
    <w:rsid w:val="00510DDC"/>
    <w:rsid w:val="00530333"/>
    <w:rsid w:val="0053168D"/>
    <w:rsid w:val="005317AF"/>
    <w:rsid w:val="00573B91"/>
    <w:rsid w:val="00580A8A"/>
    <w:rsid w:val="00580E10"/>
    <w:rsid w:val="00590F85"/>
    <w:rsid w:val="005925F5"/>
    <w:rsid w:val="00592E5F"/>
    <w:rsid w:val="005A2EF8"/>
    <w:rsid w:val="005B4E4C"/>
    <w:rsid w:val="005D4140"/>
    <w:rsid w:val="005E2654"/>
    <w:rsid w:val="005E4F59"/>
    <w:rsid w:val="005F26D0"/>
    <w:rsid w:val="005F4534"/>
    <w:rsid w:val="00621328"/>
    <w:rsid w:val="006323D1"/>
    <w:rsid w:val="00634832"/>
    <w:rsid w:val="00641CAD"/>
    <w:rsid w:val="006438D3"/>
    <w:rsid w:val="00652C29"/>
    <w:rsid w:val="00685A1A"/>
    <w:rsid w:val="00686964"/>
    <w:rsid w:val="006872A9"/>
    <w:rsid w:val="00691749"/>
    <w:rsid w:val="00694F28"/>
    <w:rsid w:val="006A2AFC"/>
    <w:rsid w:val="006A2D64"/>
    <w:rsid w:val="006A4D81"/>
    <w:rsid w:val="006B1582"/>
    <w:rsid w:val="006B3948"/>
    <w:rsid w:val="006F0AFB"/>
    <w:rsid w:val="006F3BF2"/>
    <w:rsid w:val="006F51E2"/>
    <w:rsid w:val="00707619"/>
    <w:rsid w:val="0071037E"/>
    <w:rsid w:val="0074600B"/>
    <w:rsid w:val="00763610"/>
    <w:rsid w:val="00775E4A"/>
    <w:rsid w:val="00792DB2"/>
    <w:rsid w:val="007A4C05"/>
    <w:rsid w:val="007B4DE0"/>
    <w:rsid w:val="007D1432"/>
    <w:rsid w:val="007D6E57"/>
    <w:rsid w:val="007E67B2"/>
    <w:rsid w:val="007F1C69"/>
    <w:rsid w:val="0080342F"/>
    <w:rsid w:val="0080594D"/>
    <w:rsid w:val="00807937"/>
    <w:rsid w:val="008159F7"/>
    <w:rsid w:val="00840885"/>
    <w:rsid w:val="00852B95"/>
    <w:rsid w:val="00853455"/>
    <w:rsid w:val="00857D3C"/>
    <w:rsid w:val="008619B9"/>
    <w:rsid w:val="00866F71"/>
    <w:rsid w:val="00867DE0"/>
    <w:rsid w:val="008707C7"/>
    <w:rsid w:val="00871320"/>
    <w:rsid w:val="008803C6"/>
    <w:rsid w:val="008846A9"/>
    <w:rsid w:val="00884BF4"/>
    <w:rsid w:val="00894808"/>
    <w:rsid w:val="008A01BF"/>
    <w:rsid w:val="008C2A09"/>
    <w:rsid w:val="008E65AE"/>
    <w:rsid w:val="008F46DD"/>
    <w:rsid w:val="008F52BF"/>
    <w:rsid w:val="0090162D"/>
    <w:rsid w:val="00915ECF"/>
    <w:rsid w:val="009235AB"/>
    <w:rsid w:val="009304BE"/>
    <w:rsid w:val="009305D5"/>
    <w:rsid w:val="00934ED2"/>
    <w:rsid w:val="009448AA"/>
    <w:rsid w:val="0095719F"/>
    <w:rsid w:val="009603CA"/>
    <w:rsid w:val="009618E2"/>
    <w:rsid w:val="00965FB5"/>
    <w:rsid w:val="00966051"/>
    <w:rsid w:val="009712C7"/>
    <w:rsid w:val="00971F99"/>
    <w:rsid w:val="00975B07"/>
    <w:rsid w:val="00981680"/>
    <w:rsid w:val="009857FA"/>
    <w:rsid w:val="009A0FCC"/>
    <w:rsid w:val="009A22A6"/>
    <w:rsid w:val="009A4C89"/>
    <w:rsid w:val="009B0459"/>
    <w:rsid w:val="009D09E2"/>
    <w:rsid w:val="009D3AA9"/>
    <w:rsid w:val="009D4E92"/>
    <w:rsid w:val="009D7E24"/>
    <w:rsid w:val="009F4E31"/>
    <w:rsid w:val="009F77D2"/>
    <w:rsid w:val="00A015D1"/>
    <w:rsid w:val="00A07830"/>
    <w:rsid w:val="00A167BF"/>
    <w:rsid w:val="00A27693"/>
    <w:rsid w:val="00A372F7"/>
    <w:rsid w:val="00A4148C"/>
    <w:rsid w:val="00A435BA"/>
    <w:rsid w:val="00A45124"/>
    <w:rsid w:val="00A530D0"/>
    <w:rsid w:val="00A565D4"/>
    <w:rsid w:val="00A645E8"/>
    <w:rsid w:val="00A6675F"/>
    <w:rsid w:val="00A95EE5"/>
    <w:rsid w:val="00AA0BCA"/>
    <w:rsid w:val="00AA3229"/>
    <w:rsid w:val="00AA45AF"/>
    <w:rsid w:val="00AA65C3"/>
    <w:rsid w:val="00AB13BC"/>
    <w:rsid w:val="00AB7A88"/>
    <w:rsid w:val="00AE1378"/>
    <w:rsid w:val="00AE2EAB"/>
    <w:rsid w:val="00AF3622"/>
    <w:rsid w:val="00AF3D1A"/>
    <w:rsid w:val="00B02372"/>
    <w:rsid w:val="00B03A31"/>
    <w:rsid w:val="00B14A2B"/>
    <w:rsid w:val="00B174F7"/>
    <w:rsid w:val="00B21A3E"/>
    <w:rsid w:val="00B23845"/>
    <w:rsid w:val="00B245D6"/>
    <w:rsid w:val="00B3336B"/>
    <w:rsid w:val="00B43B2F"/>
    <w:rsid w:val="00B512C9"/>
    <w:rsid w:val="00B554ED"/>
    <w:rsid w:val="00B60B7E"/>
    <w:rsid w:val="00B842C1"/>
    <w:rsid w:val="00B86BB4"/>
    <w:rsid w:val="00B9743E"/>
    <w:rsid w:val="00BA287A"/>
    <w:rsid w:val="00BA4B6B"/>
    <w:rsid w:val="00BB7539"/>
    <w:rsid w:val="00BC04B3"/>
    <w:rsid w:val="00BC520C"/>
    <w:rsid w:val="00BD2091"/>
    <w:rsid w:val="00BE2068"/>
    <w:rsid w:val="00BE2E60"/>
    <w:rsid w:val="00BE312D"/>
    <w:rsid w:val="00BE705C"/>
    <w:rsid w:val="00BF55BB"/>
    <w:rsid w:val="00C0020A"/>
    <w:rsid w:val="00C02441"/>
    <w:rsid w:val="00C10B99"/>
    <w:rsid w:val="00C16EC0"/>
    <w:rsid w:val="00C24806"/>
    <w:rsid w:val="00C257BF"/>
    <w:rsid w:val="00C30BDE"/>
    <w:rsid w:val="00C33106"/>
    <w:rsid w:val="00C352C3"/>
    <w:rsid w:val="00C3636A"/>
    <w:rsid w:val="00C46B19"/>
    <w:rsid w:val="00C62E31"/>
    <w:rsid w:val="00C83BCA"/>
    <w:rsid w:val="00C84E04"/>
    <w:rsid w:val="00CA28D2"/>
    <w:rsid w:val="00CA2DEA"/>
    <w:rsid w:val="00CC3215"/>
    <w:rsid w:val="00CD05D1"/>
    <w:rsid w:val="00CD6182"/>
    <w:rsid w:val="00CE66E2"/>
    <w:rsid w:val="00CF3819"/>
    <w:rsid w:val="00CF770B"/>
    <w:rsid w:val="00D00E03"/>
    <w:rsid w:val="00D242DA"/>
    <w:rsid w:val="00D30226"/>
    <w:rsid w:val="00D3230E"/>
    <w:rsid w:val="00D34F24"/>
    <w:rsid w:val="00D47423"/>
    <w:rsid w:val="00D54AE0"/>
    <w:rsid w:val="00D6021B"/>
    <w:rsid w:val="00D64B0D"/>
    <w:rsid w:val="00D705F5"/>
    <w:rsid w:val="00D80732"/>
    <w:rsid w:val="00D8153B"/>
    <w:rsid w:val="00D85A67"/>
    <w:rsid w:val="00DC46E3"/>
    <w:rsid w:val="00DD1AA4"/>
    <w:rsid w:val="00DD298E"/>
    <w:rsid w:val="00DE1FDD"/>
    <w:rsid w:val="00DF44CA"/>
    <w:rsid w:val="00E02ABE"/>
    <w:rsid w:val="00E036AD"/>
    <w:rsid w:val="00E04508"/>
    <w:rsid w:val="00E103F9"/>
    <w:rsid w:val="00E11F18"/>
    <w:rsid w:val="00E13072"/>
    <w:rsid w:val="00E153A4"/>
    <w:rsid w:val="00E22E3A"/>
    <w:rsid w:val="00E33C79"/>
    <w:rsid w:val="00E40B45"/>
    <w:rsid w:val="00E517B6"/>
    <w:rsid w:val="00E547C2"/>
    <w:rsid w:val="00E64DEF"/>
    <w:rsid w:val="00E64F7A"/>
    <w:rsid w:val="00E8017B"/>
    <w:rsid w:val="00E863E3"/>
    <w:rsid w:val="00E864D5"/>
    <w:rsid w:val="00E914E2"/>
    <w:rsid w:val="00E92EF7"/>
    <w:rsid w:val="00E97878"/>
    <w:rsid w:val="00EA4036"/>
    <w:rsid w:val="00EB6578"/>
    <w:rsid w:val="00EC1807"/>
    <w:rsid w:val="00ED0337"/>
    <w:rsid w:val="00ED5DAC"/>
    <w:rsid w:val="00EE1F89"/>
    <w:rsid w:val="00EE2E0D"/>
    <w:rsid w:val="00EE69BB"/>
    <w:rsid w:val="00EF381A"/>
    <w:rsid w:val="00F047E7"/>
    <w:rsid w:val="00F139A8"/>
    <w:rsid w:val="00F15263"/>
    <w:rsid w:val="00F26D4E"/>
    <w:rsid w:val="00F51A5B"/>
    <w:rsid w:val="00F51B43"/>
    <w:rsid w:val="00F6009C"/>
    <w:rsid w:val="00F7507B"/>
    <w:rsid w:val="00F80886"/>
    <w:rsid w:val="00F87EE1"/>
    <w:rsid w:val="00F91704"/>
    <w:rsid w:val="00F96BDC"/>
    <w:rsid w:val="00FA2B1E"/>
    <w:rsid w:val="00FC3C4D"/>
    <w:rsid w:val="00FC7D8B"/>
    <w:rsid w:val="00FD23E1"/>
    <w:rsid w:val="00FF0C70"/>
    <w:rsid w:val="00FF158F"/>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ind w:left="360"/>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ind w:left="360"/>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1206478959">
      <w:bodyDiv w:val="1"/>
      <w:marLeft w:val="0"/>
      <w:marRight w:val="0"/>
      <w:marTop w:val="0"/>
      <w:marBottom w:val="0"/>
      <w:divBdr>
        <w:top w:val="none" w:sz="0" w:space="0" w:color="auto"/>
        <w:left w:val="none" w:sz="0" w:space="0" w:color="auto"/>
        <w:bottom w:val="none" w:sz="0" w:space="0" w:color="auto"/>
        <w:right w:val="none" w:sz="0" w:space="0" w:color="auto"/>
      </w:divBdr>
    </w:div>
    <w:div w:id="12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494024804">
          <w:marLeft w:val="0"/>
          <w:marRight w:val="0"/>
          <w:marTop w:val="0"/>
          <w:marBottom w:val="0"/>
          <w:divBdr>
            <w:top w:val="none" w:sz="0" w:space="0" w:color="auto"/>
            <w:left w:val="none" w:sz="0" w:space="0" w:color="auto"/>
            <w:bottom w:val="none" w:sz="0" w:space="0" w:color="auto"/>
            <w:right w:val="none" w:sz="0" w:space="0" w:color="auto"/>
          </w:divBdr>
          <w:divsChild>
            <w:div w:id="711852872">
              <w:marLeft w:val="0"/>
              <w:marRight w:val="0"/>
              <w:marTop w:val="0"/>
              <w:marBottom w:val="0"/>
              <w:divBdr>
                <w:top w:val="none" w:sz="0" w:space="0" w:color="auto"/>
                <w:left w:val="none" w:sz="0" w:space="0" w:color="auto"/>
                <w:bottom w:val="none" w:sz="0" w:space="0" w:color="auto"/>
                <w:right w:val="none" w:sz="0" w:space="0" w:color="auto"/>
              </w:divBdr>
              <w:divsChild>
                <w:div w:id="1066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 w:id="2077970230">
      <w:bodyDiv w:val="1"/>
      <w:marLeft w:val="0"/>
      <w:marRight w:val="0"/>
      <w:marTop w:val="0"/>
      <w:marBottom w:val="0"/>
      <w:divBdr>
        <w:top w:val="none" w:sz="0" w:space="0" w:color="auto"/>
        <w:left w:val="none" w:sz="0" w:space="0" w:color="auto"/>
        <w:bottom w:val="none" w:sz="0" w:space="0" w:color="auto"/>
        <w:right w:val="none" w:sz="0" w:space="0" w:color="auto"/>
      </w:divBdr>
      <w:divsChild>
        <w:div w:id="461072748">
          <w:marLeft w:val="0"/>
          <w:marRight w:val="0"/>
          <w:marTop w:val="0"/>
          <w:marBottom w:val="0"/>
          <w:divBdr>
            <w:top w:val="none" w:sz="0" w:space="0" w:color="auto"/>
            <w:left w:val="none" w:sz="0" w:space="0" w:color="auto"/>
            <w:bottom w:val="none" w:sz="0" w:space="0" w:color="auto"/>
            <w:right w:val="none" w:sz="0" w:space="0" w:color="auto"/>
          </w:divBdr>
          <w:divsChild>
            <w:div w:id="60953972">
              <w:marLeft w:val="0"/>
              <w:marRight w:val="0"/>
              <w:marTop w:val="0"/>
              <w:marBottom w:val="0"/>
              <w:divBdr>
                <w:top w:val="none" w:sz="0" w:space="0" w:color="auto"/>
                <w:left w:val="none" w:sz="0" w:space="0" w:color="auto"/>
                <w:bottom w:val="none" w:sz="0" w:space="0" w:color="auto"/>
                <w:right w:val="none" w:sz="0" w:space="0" w:color="auto"/>
              </w:divBdr>
              <w:divsChild>
                <w:div w:id="858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Compliance</a:t>
            </a:r>
            <a:r>
              <a:rPr lang="en-US" baseline="0"/>
              <a:t> Margins Furnace/Heat Pump</a:t>
            </a:r>
            <a:endParaRPr lang="en-US"/>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Sheet1!$C$21:$F$21</c:f>
              <c:strCache>
                <c:ptCount val="4"/>
                <c:pt idx="0">
                  <c:v>Min AFUE</c:v>
                </c:pt>
                <c:pt idx="1">
                  <c:v>Hi Eff AFUE</c:v>
                </c:pt>
                <c:pt idx="2">
                  <c:v>Min HP</c:v>
                </c:pt>
                <c:pt idx="3">
                  <c:v>Hi Eff HP</c:v>
                </c:pt>
              </c:strCache>
            </c:strRef>
          </c:cat>
          <c:val>
            <c:numRef>
              <c:f>Sheet1!$C$22:$F$22</c:f>
              <c:numCache>
                <c:formatCode>0.0%</c:formatCode>
                <c:ptCount val="4"/>
                <c:pt idx="0">
                  <c:v>1.962689467547607E-2</c:v>
                </c:pt>
                <c:pt idx="1">
                  <c:v>8.7640886125145756E-2</c:v>
                </c:pt>
                <c:pt idx="2">
                  <c:v>1.8075918859208673E-2</c:v>
                </c:pt>
                <c:pt idx="3">
                  <c:v>8.877284595300261E-2</c:v>
                </c:pt>
              </c:numCache>
            </c:numRef>
          </c:val>
        </c:ser>
        <c:dLbls>
          <c:showLegendKey val="0"/>
          <c:showVal val="0"/>
          <c:showCatName val="0"/>
          <c:showSerName val="0"/>
          <c:showPercent val="0"/>
          <c:showBubbleSize val="0"/>
        </c:dLbls>
        <c:gapWidth val="150"/>
        <c:axId val="49800320"/>
        <c:axId val="49802624"/>
      </c:barChart>
      <c:catAx>
        <c:axId val="49800320"/>
        <c:scaling>
          <c:orientation val="minMax"/>
        </c:scaling>
        <c:delete val="0"/>
        <c:axPos val="b"/>
        <c:majorTickMark val="none"/>
        <c:minorTickMark val="none"/>
        <c:tickLblPos val="nextTo"/>
        <c:crossAx val="49802624"/>
        <c:crosses val="autoZero"/>
        <c:auto val="1"/>
        <c:lblAlgn val="ctr"/>
        <c:lblOffset val="100"/>
        <c:noMultiLvlLbl val="0"/>
      </c:catAx>
      <c:valAx>
        <c:axId val="49802624"/>
        <c:scaling>
          <c:orientation val="minMax"/>
        </c:scaling>
        <c:delete val="0"/>
        <c:axPos val="l"/>
        <c:majorGridlines/>
        <c:title>
          <c:tx>
            <c:rich>
              <a:bodyPr/>
              <a:lstStyle/>
              <a:p>
                <a:pPr>
                  <a:defRPr/>
                </a:pPr>
                <a:r>
                  <a:rPr lang="en-US"/>
                  <a:t>Percent  Better </a:t>
                </a:r>
              </a:p>
            </c:rich>
          </c:tx>
          <c:overlay val="0"/>
        </c:title>
        <c:numFmt formatCode="0.0%" sourceLinked="1"/>
        <c:majorTickMark val="none"/>
        <c:minorTickMark val="none"/>
        <c:tickLblPos val="nextTo"/>
        <c:crossAx val="498003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3A323-9B6C-4D9A-955D-63D9C4489584}"/>
</file>

<file path=customXml/itemProps2.xml><?xml version="1.0" encoding="utf-8"?>
<ds:datastoreItem xmlns:ds="http://schemas.openxmlformats.org/officeDocument/2006/customXml" ds:itemID="{8788F055-8199-48F9-9C2E-D871D66DFD0B}"/>
</file>

<file path=customXml/itemProps3.xml><?xml version="1.0" encoding="utf-8"?>
<ds:datastoreItem xmlns:ds="http://schemas.openxmlformats.org/officeDocument/2006/customXml" ds:itemID="{B4D8F137-505A-4A5C-9A44-9E13841242A3}"/>
</file>

<file path=customXml/itemProps4.xml><?xml version="1.0" encoding="utf-8"?>
<ds:datastoreItem xmlns:ds="http://schemas.openxmlformats.org/officeDocument/2006/customXml" ds:itemID="{CA391DCC-2DB4-455B-B33D-9D1F9C640818}"/>
</file>

<file path=docProps/app.xml><?xml version="1.0" encoding="utf-8"?>
<Properties xmlns="http://schemas.openxmlformats.org/officeDocument/2006/extended-properties" xmlns:vt="http://schemas.openxmlformats.org/officeDocument/2006/docPropsVTypes">
  <Template>Normal.dotm</Template>
  <TotalTime>44</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Marshall B. Hunt</cp:lastModifiedBy>
  <cp:revision>3</cp:revision>
  <cp:lastPrinted>2015-07-28T16:39:00Z</cp:lastPrinted>
  <dcterms:created xsi:type="dcterms:W3CDTF">2015-07-28T21:03:00Z</dcterms:created>
  <dcterms:modified xsi:type="dcterms:W3CDTF">2015-07-28T21:48:00Z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