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5A07" w14:textId="77777777" w:rsidR="00EE677F" w:rsidRDefault="00D135FE">
      <w:pPr>
        <w:pStyle w:val="CASEBanner"/>
      </w:pPr>
      <w:r>
        <w:t>PG&amp;E Codes and standards Program</w:t>
      </w:r>
    </w:p>
    <w:p w14:paraId="29709EFA" w14:textId="77777777" w:rsidR="00EE677F" w:rsidRDefault="00EE677F"/>
    <w:p w14:paraId="608FADE4" w14:textId="77777777" w:rsidR="00EE677F" w:rsidRDefault="00D135FE">
      <w:pPr>
        <w:pStyle w:val="Title"/>
        <w:ind w:left="0"/>
        <w:jc w:val="left"/>
        <w:rPr>
          <w:sz w:val="48"/>
        </w:rPr>
      </w:pPr>
      <w:r>
        <w:rPr>
          <w:sz w:val="48"/>
        </w:rPr>
        <w:t xml:space="preserve">Supporting Information for PG&amp;E Comments on DOE Residential Gas Furnace Rulemaking  </w:t>
      </w:r>
    </w:p>
    <w:p w14:paraId="030EF234" w14:textId="77777777" w:rsidR="00EE677F" w:rsidRDefault="00EE677F">
      <w:pPr>
        <w:pStyle w:val="2016T24Banner"/>
      </w:pPr>
    </w:p>
    <w:p w14:paraId="6F6E575B" w14:textId="77777777" w:rsidR="00EE677F" w:rsidRDefault="00D135FE">
      <w:pPr>
        <w:tabs>
          <w:tab w:val="right" w:pos="9360"/>
        </w:tabs>
      </w:pPr>
      <w:r>
        <w:tab/>
        <w:t>June 30, 2015</w:t>
      </w:r>
    </w:p>
    <w:p w14:paraId="771A2D2D" w14:textId="77777777" w:rsidR="00EE677F" w:rsidRDefault="00EE677F"/>
    <w:p w14:paraId="42441680" w14:textId="77777777" w:rsidR="00EE677F" w:rsidRDefault="00EE677F"/>
    <w:p w14:paraId="49200FC8" w14:textId="77777777" w:rsidR="00EE677F" w:rsidRDefault="00EE677F"/>
    <w:p w14:paraId="6E0A38FB" w14:textId="77777777" w:rsidR="00EE677F" w:rsidRDefault="00EE677F"/>
    <w:p w14:paraId="1938E069" w14:textId="77777777" w:rsidR="00EE677F" w:rsidRDefault="00EE677F"/>
    <w:p w14:paraId="3605CCEC" w14:textId="77777777" w:rsidR="00EE677F" w:rsidRDefault="00EE677F"/>
    <w:p w14:paraId="17935D18" w14:textId="77777777" w:rsidR="00EE677F" w:rsidRDefault="00EE677F"/>
    <w:p w14:paraId="0B670FA7" w14:textId="77777777" w:rsidR="00EE677F" w:rsidRDefault="00EE677F"/>
    <w:p w14:paraId="0BD03A69" w14:textId="77777777" w:rsidR="00EE677F" w:rsidRDefault="00EE677F"/>
    <w:p w14:paraId="4E5D7F39" w14:textId="77777777" w:rsidR="00EE677F" w:rsidRDefault="00EE677F"/>
    <w:p w14:paraId="73E68692" w14:textId="77777777" w:rsidR="00EE677F" w:rsidRDefault="00EE677F"/>
    <w:p w14:paraId="6DC57936" w14:textId="77777777" w:rsidR="00EE677F" w:rsidRDefault="00EE677F"/>
    <w:p w14:paraId="4BC7F54B" w14:textId="77777777" w:rsidR="00EE677F" w:rsidRDefault="00EE677F"/>
    <w:p w14:paraId="511A0EA5" w14:textId="77777777" w:rsidR="00EE677F" w:rsidRDefault="00EE677F"/>
    <w:p w14:paraId="6FB0A5F5" w14:textId="77777777" w:rsidR="00EE677F" w:rsidRDefault="00EE677F"/>
    <w:p w14:paraId="66DB95EC" w14:textId="77777777" w:rsidR="00EE677F" w:rsidRDefault="00EE677F"/>
    <w:p w14:paraId="11136A8F" w14:textId="77777777" w:rsidR="00EE677F" w:rsidRDefault="00EE677F"/>
    <w:p w14:paraId="30EBB20A" w14:textId="77777777" w:rsidR="00EE677F" w:rsidRDefault="00EE677F"/>
    <w:p w14:paraId="5D19E50D" w14:textId="77777777" w:rsidR="00EE677F" w:rsidRDefault="00D135FE">
      <w:pPr>
        <w:spacing w:before="0" w:after="200" w:line="276" w:lineRule="auto"/>
        <w:ind w:left="0"/>
        <w:rPr>
          <w:b/>
          <w:color w:val="000000"/>
          <w:sz w:val="26"/>
          <w:szCs w:val="26"/>
        </w:rPr>
      </w:pPr>
      <w:r>
        <w:br w:type="page"/>
      </w:r>
    </w:p>
    <w:p w14:paraId="4574FF23" w14:textId="77777777" w:rsidR="00EE677F" w:rsidRDefault="00D135FE" w:rsidP="00F13198">
      <w:pPr>
        <w:pStyle w:val="Heading2"/>
        <w:ind w:left="180"/>
      </w:pPr>
      <w:r>
        <w:lastRenderedPageBreak/>
        <w:t>Summary</w:t>
      </w:r>
    </w:p>
    <w:p w14:paraId="346CAC45" w14:textId="007A9B0E" w:rsidR="00EE677F" w:rsidRDefault="00D135FE">
      <w:r>
        <w:t xml:space="preserve">The </w:t>
      </w:r>
      <w:r w:rsidR="00BF109D">
        <w:t>Department of Energy</w:t>
      </w:r>
      <w:r>
        <w:t xml:space="preserve"> </w:t>
      </w:r>
      <w:r w:rsidR="00BF109D">
        <w:t>(DOE) l</w:t>
      </w:r>
      <w:r>
        <w:t>ife cycle cost (LCC</w:t>
      </w:r>
      <w:r w:rsidR="00524215">
        <w:t>) analysis method</w:t>
      </w:r>
      <w:r w:rsidR="00BF109D">
        <w:t xml:space="preserve"> for residential furnaces</w:t>
      </w:r>
      <w:r w:rsidR="00524215">
        <w:t xml:space="preserve">, documented in the </w:t>
      </w:r>
      <w:r w:rsidR="00BF109D">
        <w:t>Notice of Proposed Rulemaking Technical Support Document (NOPR TSD)</w:t>
      </w:r>
      <w:r w:rsidR="00BF109D">
        <w:rPr>
          <w:rStyle w:val="FootnoteReference"/>
        </w:rPr>
        <w:footnoteReference w:id="2"/>
      </w:r>
      <w:r w:rsidR="00BF109D">
        <w:t xml:space="preserve">, </w:t>
      </w:r>
      <w:r>
        <w:t xml:space="preserve">is based on a Monte Carlo analysis that </w:t>
      </w:r>
      <w:del w:id="0" w:author="Marshall B. Hunt" w:date="2015-07-05T10:47:00Z">
        <w:r w:rsidDel="00EF168E">
          <w:delText xml:space="preserve">adequately </w:delText>
        </w:r>
      </w:del>
      <w:r>
        <w:t xml:space="preserve">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w:t>
      </w:r>
      <w:del w:id="1" w:author="Marshall B. Hunt" w:date="2015-07-05T11:04:00Z">
        <w:r w:rsidDel="009F7306">
          <w:delText>are well-suited to</w:delText>
        </w:r>
      </w:del>
      <w:ins w:id="2" w:author="Marshall B. Hunt" w:date="2015-07-05T11:04:00Z">
        <w:r w:rsidR="009F7306">
          <w:t>appropriately</w:t>
        </w:r>
      </w:ins>
      <w:r>
        <w:t xml:space="preserve"> reflect the energy savings and cost effectiveness of different efficiency levels under consideration.</w:t>
      </w:r>
    </w:p>
    <w:p w14:paraId="4819A2A4" w14:textId="77777777" w:rsidR="00EE677F" w:rsidRDefault="00D135FE">
      <w:del w:id="3" w:author="Marshall B. Hunt" w:date="2015-07-05T11:05:00Z">
        <w:r w:rsidDel="009F7306">
          <w:delText xml:space="preserve">However, </w:delText>
        </w:r>
      </w:del>
      <w:r>
        <w:t xml:space="preserve">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1A8143AC" w14:textId="77777777" w:rsidR="00EE677F" w:rsidRDefault="00D135FE">
      <w:r>
        <w:t>We support a national or regional standards based on TSL4 (Efficiency level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EPA’s smog control mandates.</w:t>
      </w:r>
    </w:p>
    <w:p w14:paraId="51765922" w14:textId="56C718BD" w:rsidR="00BF109D" w:rsidRDefault="00BF109D">
      <w:r>
        <w:t>Following are our suggestions for improvements to the DOE LCC analysis.</w:t>
      </w:r>
    </w:p>
    <w:p w14:paraId="6C0DEC02" w14:textId="2AAE3E4C" w:rsidR="00EE677F" w:rsidRDefault="00BF109D">
      <w:pPr>
        <w:pStyle w:val="Heading2"/>
        <w:numPr>
          <w:ilvl w:val="0"/>
          <w:numId w:val="48"/>
        </w:numPr>
      </w:pPr>
      <w:r>
        <w:t xml:space="preserve">Make </w:t>
      </w:r>
      <w:del w:id="4" w:author="Marshall B. Hunt" w:date="2015-07-05T11:10:00Z">
        <w:r w:rsidDel="009F7306">
          <w:delText>less conservative</w:delText>
        </w:r>
      </w:del>
      <w:ins w:id="5" w:author="Marshall B. Hunt" w:date="2015-07-05T11:10:00Z">
        <w:r w:rsidR="009F7306">
          <w:t>lower</w:t>
        </w:r>
      </w:ins>
      <w:r>
        <w:t xml:space="preserve"> </w:t>
      </w:r>
      <w:r w:rsidR="00D135FE">
        <w:t xml:space="preserve">product markup </w:t>
      </w:r>
      <w:r>
        <w:t>assumptions</w:t>
      </w:r>
    </w:p>
    <w:p w14:paraId="6D23F05A" w14:textId="77777777" w:rsidR="00EE677F" w:rsidRDefault="00D135FE">
      <w:r>
        <w:t>Section 2.7 of the TSD indicates that incremental markups are necessary for “</w:t>
      </w:r>
      <w:r>
        <w:rPr>
          <w:i/>
        </w:rPr>
        <w:t>the change in the manufacturer production cost of higher efficiency models to the change in the retailer or distributor sales price.”</w:t>
      </w:r>
      <w:r>
        <w:t xml:space="preserve"> Section 6.1 states that “</w:t>
      </w:r>
      <w:r>
        <w:rPr>
          <w:i/>
        </w:rPr>
        <w:t>Because companies mark up the price at each point in the distribution channel, both baseline and incremental markups are dependent on the distribution channel [.]”</w:t>
      </w:r>
    </w:p>
    <w:p w14:paraId="16C88EA1" w14:textId="0F3267EA" w:rsidR="00EE677F" w:rsidRDefault="00D135FE">
      <w: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Pr>
          <w:u w:val="single"/>
        </w:rPr>
        <w:t>current</w:t>
      </w:r>
      <w:r>
        <w:t xml:space="preserve"> costs-of-good-sold, variant costs, and gross margins related to higher efficiency furnaces. These costs should be reflective of a scenario </w:t>
      </w:r>
      <w:del w:id="6" w:author="Marshall B. Hunt" w:date="2015-07-05T11:11:00Z">
        <w:r w:rsidDel="009F7306">
          <w:delText xml:space="preserve">should that standard be adopted, </w:delText>
        </w:r>
      </w:del>
      <w:r>
        <w:t>where the price point of the high efficiency furnace is essentially equivalent to the baseline furnace.</w:t>
      </w:r>
    </w:p>
    <w:p w14:paraId="2714798D" w14:textId="104398D1" w:rsidR="00EE677F" w:rsidRDefault="00D135FE">
      <w:r>
        <w:t>However, tables in Section 6.6.1 show very high incremental markups, as high as 69% in Alaska. These incremental markups are too conservative</w:t>
      </w:r>
      <w:ins w:id="7" w:author="Marshall B. Hunt" w:date="2015-07-05T11:11:00Z">
        <w:r w:rsidR="009F7306">
          <w:t xml:space="preserve"> (high)</w:t>
        </w:r>
      </w:ins>
      <w:r>
        <w:t xml:space="preserve"> in a market where manufacturers and contractors are competing to provide the best price for a furnace that meets the </w:t>
      </w:r>
      <w:ins w:id="8" w:author="Marshall B. Hunt" w:date="2015-07-05T11:11:00Z">
        <w:r w:rsidR="009F7306">
          <w:t xml:space="preserve">minimum </w:t>
        </w:r>
      </w:ins>
      <w:r>
        <w:t>federal standard, and should be excluded altogether by treating the new standard as the baseline.</w:t>
      </w:r>
    </w:p>
    <w:p w14:paraId="47BF3BD2" w14:textId="77777777" w:rsidR="00F13198" w:rsidRDefault="00F13198"/>
    <w:p w14:paraId="0E66D463" w14:textId="77777777" w:rsidR="00F13198" w:rsidRDefault="00F13198"/>
    <w:p w14:paraId="5787DF80" w14:textId="5C4D5177" w:rsidR="00EE677F" w:rsidRDefault="00BF109D">
      <w:pPr>
        <w:pStyle w:val="Heading2"/>
        <w:numPr>
          <w:ilvl w:val="0"/>
          <w:numId w:val="48"/>
        </w:numPr>
      </w:pPr>
      <w:r>
        <w:lastRenderedPageBreak/>
        <w:t xml:space="preserve">Improve accuracy of market for </w:t>
      </w:r>
      <w:r w:rsidR="00D135FE">
        <w:t>vent system upgrade for orphaned water heater vent</w:t>
      </w:r>
      <w:r>
        <w:t>s</w:t>
      </w:r>
      <w:r w:rsidR="00D135FE">
        <w:t xml:space="preserve"> not accurately reflecting market status</w:t>
      </w:r>
    </w:p>
    <w:p w14:paraId="4CDCB168" w14:textId="320AAC70" w:rsidR="00396823" w:rsidRDefault="00D135FE" w:rsidP="00D135FE">
      <w:r>
        <w:t xml:space="preserve">We believe that DOE’s assumptions </w:t>
      </w:r>
      <w:ins w:id="9" w:author="Marshall B. Hunt" w:date="2015-07-05T11:12:00Z">
        <w:r w:rsidR="009F7306">
          <w:t>about</w:t>
        </w:r>
      </w:ins>
      <w:del w:id="10" w:author="Marshall B. Hunt" w:date="2015-07-05T11:12:00Z">
        <w:r w:rsidDel="009F7306">
          <w:delText>o</w:delText>
        </w:r>
      </w:del>
      <w:del w:id="11" w:author="Marshall B. Hunt" w:date="2015-07-05T11:13:00Z">
        <w:r w:rsidDel="009F7306">
          <w:delText>n</w:delText>
        </w:r>
      </w:del>
      <w:r>
        <w:t xml:space="preserve"> vent system upgrade</w:t>
      </w:r>
      <w:ins w:id="12" w:author="Marshall B. Hunt" w:date="2015-07-05T11:13:00Z">
        <w:r w:rsidR="009F7306">
          <w:t>s</w:t>
        </w:r>
      </w:ins>
      <w:r>
        <w:t xml:space="preserve"> for orphaned waters can be improved for replacement, new owner, and new construction installation</w:t>
      </w:r>
      <w:ins w:id="13" w:author="Marshall B. Hunt" w:date="2015-07-05T11:13:00Z">
        <w:r w:rsidR="009F7306">
          <w:t>s</w:t>
        </w:r>
      </w:ins>
      <w:r>
        <w:t xml:space="preserve">. </w:t>
      </w:r>
    </w:p>
    <w:p w14:paraId="12962412" w14:textId="1F9419DD" w:rsidR="00D135FE" w:rsidRDefault="001C35E0" w:rsidP="00D135FE">
      <w:r>
        <w:rPr>
          <w:b/>
        </w:rPr>
        <w:t>Reduce frequency assumptions for common-vented furnaces and water heaters</w:t>
      </w:r>
      <w:r w:rsidR="00396823">
        <w:rPr>
          <w:b/>
        </w:rPr>
        <w:t>:</w:t>
      </w:r>
      <w:r w:rsidR="00396823">
        <w:t xml:space="preserve"> </w:t>
      </w:r>
      <w:r w:rsidR="00D135FE">
        <w:t xml:space="preserve">In particular, DOE analysis should include the effect of market penetration of high-efficiency water heaters by 2021, which would make many homes </w:t>
      </w:r>
      <w:del w:id="14" w:author="Marshall B. Hunt" w:date="2015-07-05T11:52:00Z">
        <w:r w:rsidR="00D135FE" w:rsidDel="0042703B">
          <w:delText xml:space="preserve">to </w:delText>
        </w:r>
      </w:del>
      <w:r w:rsidR="00D135FE">
        <w:t>upgrade their vent f</w:t>
      </w:r>
      <w:r w:rsidR="00396823">
        <w:t>or water heaters. For example, the</w:t>
      </w:r>
      <w:r w:rsidR="00D135FE">
        <w:t xml:space="preserve"> </w:t>
      </w:r>
      <w:r w:rsidR="00396823">
        <w:t xml:space="preserve">2009 </w:t>
      </w:r>
      <w:r w:rsidR="00D135FE">
        <w:t xml:space="preserve">DOE </w:t>
      </w:r>
      <w:r w:rsidR="00396823">
        <w:t>TSD on Residential Water Heaters, Direct Heating Equipment, and Pool Heaters</w:t>
      </w:r>
      <w:r w:rsidR="004605D0">
        <w:t>,</w:t>
      </w:r>
      <w:r w:rsidR="00396823">
        <w:rPr>
          <w:rStyle w:val="FootnoteReference"/>
        </w:rPr>
        <w:footnoteReference w:id="3"/>
      </w:r>
      <w:r w:rsidR="00396823">
        <w:t xml:space="preserve"> </w:t>
      </w:r>
      <w:r w:rsidR="004605D0">
        <w:t xml:space="preserve">Figure 9.3.4, </w:t>
      </w:r>
      <w:r w:rsidR="00D135FE">
        <w:t xml:space="preserve">estimated that the market share for gas instantaneous water heaters could reach 28% based on </w:t>
      </w:r>
      <w:r w:rsidR="00396823">
        <w:t xml:space="preserve">a </w:t>
      </w:r>
      <w:r w:rsidR="00D135FE">
        <w:t xml:space="preserve">median projection. The new DOE water </w:t>
      </w:r>
      <w:proofErr w:type="gramStart"/>
      <w:r w:rsidR="00D135FE">
        <w:t>heater efficiency standards, which took effect in April 2015</w:t>
      </w:r>
      <w:ins w:id="15" w:author="Marshall B. Hunt" w:date="2015-07-05T11:14:00Z">
        <w:r w:rsidR="009F7306">
          <w:t>,</w:t>
        </w:r>
      </w:ins>
      <w:r w:rsidR="00D135FE">
        <w:t xml:space="preserve"> effectively requires</w:t>
      </w:r>
      <w:proofErr w:type="gramEnd"/>
      <w:r w:rsidR="00D135FE">
        <w:t xml:space="preserve"> gas water heaters with more than 50 gallon storage capacity to be condensing water heaters. The California 2016 Title 24, effective in 2017, includes a prescriptive requirement of </w:t>
      </w:r>
      <w:proofErr w:type="spellStart"/>
      <w:r w:rsidR="00D135FE">
        <w:t>tankless</w:t>
      </w:r>
      <w:proofErr w:type="spellEnd"/>
      <w:r w:rsidR="00D135FE">
        <w:t xml:space="preserve"> (instantaneous) water heater for all new construction homes. To accommodate high-efficiency water heaters, </w:t>
      </w:r>
      <w:r w:rsidR="00396823">
        <w:t xml:space="preserve">new construction homes and many </w:t>
      </w:r>
      <w:r w:rsidR="00D135FE">
        <w:t>existing homes</w:t>
      </w:r>
      <w:r w:rsidR="00396823">
        <w:t xml:space="preserve"> (</w:t>
      </w:r>
      <w:r w:rsidR="00D135FE">
        <w:t>including those with common vent</w:t>
      </w:r>
      <w:r w:rsidR="00396823">
        <w:t>s</w:t>
      </w:r>
      <w:r w:rsidR="00D135FE">
        <w:t xml:space="preserve"> for the furnace and water heater</w:t>
      </w:r>
      <w:r w:rsidR="00396823">
        <w:t>)</w:t>
      </w:r>
      <w:r w:rsidR="00D135FE">
        <w:t xml:space="preserve"> </w:t>
      </w:r>
      <w:r w:rsidR="00396823">
        <w:t xml:space="preserve">will need </w:t>
      </w:r>
      <w:r w:rsidR="00D135FE">
        <w:t>to upgrade water heater</w:t>
      </w:r>
      <w:r w:rsidR="00396823">
        <w:t xml:space="preserve"> vents</w:t>
      </w:r>
      <w:r w:rsidR="00D135FE">
        <w:t xml:space="preserve">. DOE’s analysis of vent system upgrade cost for orphaned water heaters was based market data collected before 2010. By 2021, the number of homes with a common venting system shared by NWGF and a natural vent water heater will be greatly reduced. </w:t>
      </w:r>
    </w:p>
    <w:p w14:paraId="24F26F9A" w14:textId="485DD223" w:rsidR="00D135FE" w:rsidRDefault="009C53AD" w:rsidP="00D135FE">
      <w:del w:id="16" w:author="Marshall B. Hunt" w:date="2015-07-05T11:58:00Z">
        <w:r w:rsidDel="0042703B">
          <w:rPr>
            <w:b/>
          </w:rPr>
          <w:delText>Use sources accurately</w:delText>
        </w:r>
      </w:del>
      <w:ins w:id="17" w:author="Marshall B. Hunt" w:date="2015-07-05T11:58:00Z">
        <w:r w:rsidR="0042703B">
          <w:rPr>
            <w:b/>
          </w:rPr>
          <w:t xml:space="preserve">Consistent </w:t>
        </w:r>
      </w:ins>
      <w:ins w:id="18" w:author="Marshall B. Hunt" w:date="2015-07-05T12:12:00Z">
        <w:r w:rsidR="00F227B3">
          <w:rPr>
            <w:b/>
          </w:rPr>
          <w:t xml:space="preserve">use of vent system </w:t>
        </w:r>
      </w:ins>
      <w:ins w:id="19" w:author="Marshall B. Hunt" w:date="2015-07-05T11:58:00Z">
        <w:r w:rsidR="0042703B">
          <w:rPr>
            <w:b/>
          </w:rPr>
          <w:t>source references</w:t>
        </w:r>
      </w:ins>
      <w:r>
        <w:rPr>
          <w:b/>
        </w:rPr>
        <w:t xml:space="preserve">: </w:t>
      </w:r>
      <w:r w:rsidR="00D135FE">
        <w:t xml:space="preserve">For existing NWGF replacement, DOE analysis relied on a </w:t>
      </w:r>
      <w:r w:rsidR="00D135FE" w:rsidRPr="00FA2797">
        <w:t>2010 consultant report</w:t>
      </w:r>
      <w:r w:rsidR="00D135FE">
        <w:rPr>
          <w:rStyle w:val="FootnoteReference"/>
        </w:rPr>
        <w:footnoteReference w:id="4"/>
      </w:r>
      <w:r w:rsidR="00D135FE">
        <w:t xml:space="preserve"> to estimate costs of upgrading the vent system for orphaned water heaters. This </w:t>
      </w:r>
      <w:r w:rsidR="00D135FE" w:rsidRPr="00FA2797">
        <w:t>consultant report</w:t>
      </w:r>
      <w:r w:rsidR="00D135FE">
        <w:t xml:space="preserve"> was used to support the prior residential gas furnace standard development. However, as shown in the following table, DOE increased the f</w:t>
      </w:r>
      <w:r w:rsidR="00D135FE" w:rsidRPr="00955F07">
        <w:t>requenc</w:t>
      </w:r>
      <w:r w:rsidR="00D135FE">
        <w:t>ies</w:t>
      </w:r>
      <w:r w:rsidR="00D135FE" w:rsidRPr="00955F07">
        <w:t xml:space="preserve"> </w:t>
      </w:r>
      <w:r w:rsidR="00D135FE">
        <w:t>for applying vent r</w:t>
      </w:r>
      <w:r w:rsidR="00D135FE" w:rsidRPr="00FA2797">
        <w:t xml:space="preserve">esizing </w:t>
      </w:r>
      <w:r w:rsidR="00D135FE">
        <w:t>costs</w:t>
      </w:r>
      <w:r w:rsidR="00D135FE" w:rsidRPr="00221323">
        <w:t xml:space="preserve"> </w:t>
      </w:r>
      <w:r w:rsidR="00D135FE">
        <w:t xml:space="preserve">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w:t>
      </w:r>
      <w:r w:rsidR="00D135FE" w:rsidRPr="00FA2797">
        <w:t>consultant report</w:t>
      </w:r>
      <w:r w:rsidR="00D135FE">
        <w:t xml:space="preserve">. We recommend that DOE consistently use the results provided in the </w:t>
      </w:r>
      <w:r w:rsidR="00D135FE" w:rsidRPr="00FA2797">
        <w:t>2010 consultant report</w:t>
      </w:r>
      <w:r w:rsidR="00D135FE">
        <w:t xml:space="preserve"> for frequencies to apply r</w:t>
      </w:r>
      <w:r w:rsidR="00D135FE" w:rsidRPr="0018769E">
        <w:t xml:space="preserve">esizing </w:t>
      </w:r>
      <w:r w:rsidR="00D135FE">
        <w:t>o</w:t>
      </w:r>
      <w:r w:rsidR="00D135FE" w:rsidRPr="0018769E">
        <w:t xml:space="preserve">rphaned </w:t>
      </w:r>
      <w:r w:rsidR="00D135FE">
        <w:t>w</w:t>
      </w:r>
      <w:r w:rsidR="00D135FE" w:rsidRPr="0018769E">
        <w:t xml:space="preserve">ater </w:t>
      </w:r>
      <w:r w:rsidR="00D135FE">
        <w:t>h</w:t>
      </w:r>
      <w:r w:rsidR="00D135FE" w:rsidRPr="0018769E">
        <w:t xml:space="preserve">eater </w:t>
      </w:r>
      <w:r w:rsidR="00D135FE">
        <w:t>c</w:t>
      </w:r>
      <w:r w:rsidR="00D135FE" w:rsidRPr="0018769E">
        <w:t xml:space="preserve">himney or upgrading </w:t>
      </w:r>
      <w:r w:rsidR="00D135FE">
        <w:t>m</w:t>
      </w:r>
      <w:r w:rsidR="00D135FE" w:rsidRPr="0018769E">
        <w:t xml:space="preserve">etal </w:t>
      </w:r>
      <w:r w:rsidR="00D135FE">
        <w:t>v</w:t>
      </w:r>
      <w:r w:rsidR="00D135FE" w:rsidRPr="0018769E">
        <w:t>ent</w:t>
      </w:r>
      <w:r w:rsidR="00D135FE">
        <w:t xml:space="preserve"> and include further reduction of these frequencies due to increased market adoption of high-efficiency water heaters.</w:t>
      </w:r>
    </w:p>
    <w:tbl>
      <w:tblPr>
        <w:tblStyle w:val="TableGrid"/>
        <w:tblW w:w="9355" w:type="dxa"/>
        <w:jc w:val="center"/>
        <w:tblLook w:val="04A0" w:firstRow="1" w:lastRow="0" w:firstColumn="1" w:lastColumn="0" w:noHBand="0" w:noVBand="1"/>
      </w:tblPr>
      <w:tblGrid>
        <w:gridCol w:w="1419"/>
        <w:gridCol w:w="1516"/>
        <w:gridCol w:w="3360"/>
        <w:gridCol w:w="1530"/>
        <w:gridCol w:w="1530"/>
      </w:tblGrid>
      <w:tr w:rsidR="006A2678" w14:paraId="53683E64" w14:textId="77777777" w:rsidTr="009C53AD">
        <w:trPr>
          <w:trHeight w:val="90"/>
          <w:jc w:val="center"/>
        </w:trPr>
        <w:tc>
          <w:tcPr>
            <w:tcW w:w="1419" w:type="dxa"/>
            <w:vMerge w:val="restart"/>
          </w:tcPr>
          <w:p w14:paraId="7C443C14" w14:textId="77777777" w:rsidR="006A2678" w:rsidRPr="0018769E" w:rsidRDefault="006A2678" w:rsidP="0042703B">
            <w:pPr>
              <w:keepNext/>
              <w:keepLines/>
              <w:ind w:left="0"/>
              <w:rPr>
                <w:b/>
              </w:rPr>
              <w:pPrChange w:id="20" w:author="Marshall B. Hunt" w:date="2015-07-05T11:56:00Z">
                <w:pPr>
                  <w:ind w:left="0"/>
                </w:pPr>
              </w:pPrChange>
            </w:pPr>
            <w:r w:rsidRPr="0018769E">
              <w:rPr>
                <w:b/>
              </w:rPr>
              <w:lastRenderedPageBreak/>
              <w:t>Existing Non-Condensing Furnace</w:t>
            </w:r>
          </w:p>
        </w:tc>
        <w:tc>
          <w:tcPr>
            <w:tcW w:w="1516" w:type="dxa"/>
            <w:vMerge w:val="restart"/>
          </w:tcPr>
          <w:p w14:paraId="60C1BF7A" w14:textId="77777777" w:rsidR="006A2678" w:rsidRPr="0018769E" w:rsidRDefault="006A2678" w:rsidP="0042703B">
            <w:pPr>
              <w:keepNext/>
              <w:keepLines/>
              <w:ind w:left="0"/>
              <w:rPr>
                <w:b/>
              </w:rPr>
              <w:pPrChange w:id="21" w:author="Marshall B. Hunt" w:date="2015-07-05T11:56:00Z">
                <w:pPr>
                  <w:ind w:left="0"/>
                </w:pPr>
              </w:pPrChange>
            </w:pPr>
            <w:r w:rsidRPr="0018769E">
              <w:rPr>
                <w:b/>
              </w:rPr>
              <w:t>Replacement Furnace</w:t>
            </w:r>
          </w:p>
        </w:tc>
        <w:tc>
          <w:tcPr>
            <w:tcW w:w="3360" w:type="dxa"/>
            <w:vMerge w:val="restart"/>
          </w:tcPr>
          <w:p w14:paraId="03DBA109" w14:textId="77777777" w:rsidR="006A2678" w:rsidRPr="0018769E" w:rsidRDefault="006A2678" w:rsidP="0042703B">
            <w:pPr>
              <w:keepNext/>
              <w:keepLines/>
              <w:ind w:left="0"/>
              <w:rPr>
                <w:b/>
              </w:rPr>
              <w:pPrChange w:id="22" w:author="Marshall B. Hunt" w:date="2015-07-05T11:56:00Z">
                <w:pPr>
                  <w:ind w:left="0"/>
                </w:pPr>
              </w:pPrChange>
            </w:pPr>
            <w:r w:rsidRPr="0018769E">
              <w:rPr>
                <w:b/>
              </w:rPr>
              <w:t>Installation Requirement</w:t>
            </w:r>
          </w:p>
        </w:tc>
        <w:tc>
          <w:tcPr>
            <w:tcW w:w="3060" w:type="dxa"/>
            <w:gridSpan w:val="2"/>
          </w:tcPr>
          <w:p w14:paraId="1BBD9776" w14:textId="77777777" w:rsidR="006A2678" w:rsidRPr="0018769E" w:rsidRDefault="006A2678" w:rsidP="0042703B">
            <w:pPr>
              <w:keepNext/>
              <w:keepLines/>
              <w:ind w:left="0"/>
              <w:rPr>
                <w:b/>
              </w:rPr>
              <w:pPrChange w:id="23" w:author="Marshall B. Hunt" w:date="2015-07-05T11:56:00Z">
                <w:pPr>
                  <w:ind w:left="0"/>
                </w:pPr>
              </w:pPrChange>
            </w:pPr>
            <w:r>
              <w:rPr>
                <w:b/>
              </w:rPr>
              <w:t>F</w:t>
            </w:r>
            <w:r w:rsidRPr="00955F07">
              <w:rPr>
                <w:b/>
              </w:rPr>
              <w:t>requency of applying requirements</w:t>
            </w:r>
          </w:p>
        </w:tc>
      </w:tr>
      <w:tr w:rsidR="006A2678" w14:paraId="3CB30801" w14:textId="77777777" w:rsidTr="009C53AD">
        <w:trPr>
          <w:trHeight w:val="755"/>
          <w:jc w:val="center"/>
        </w:trPr>
        <w:tc>
          <w:tcPr>
            <w:tcW w:w="1419" w:type="dxa"/>
            <w:vMerge/>
          </w:tcPr>
          <w:p w14:paraId="612E68D4" w14:textId="77777777" w:rsidR="006A2678" w:rsidRPr="0018769E" w:rsidRDefault="006A2678" w:rsidP="0042703B">
            <w:pPr>
              <w:keepNext/>
              <w:keepLines/>
              <w:ind w:left="0"/>
              <w:rPr>
                <w:b/>
              </w:rPr>
              <w:pPrChange w:id="24" w:author="Marshall B. Hunt" w:date="2015-07-05T11:56:00Z">
                <w:pPr>
                  <w:ind w:left="0"/>
                </w:pPr>
              </w:pPrChange>
            </w:pPr>
          </w:p>
        </w:tc>
        <w:tc>
          <w:tcPr>
            <w:tcW w:w="1516" w:type="dxa"/>
            <w:vMerge/>
          </w:tcPr>
          <w:p w14:paraId="4C787970" w14:textId="77777777" w:rsidR="006A2678" w:rsidRPr="0018769E" w:rsidRDefault="006A2678" w:rsidP="0042703B">
            <w:pPr>
              <w:keepNext/>
              <w:keepLines/>
              <w:ind w:left="0"/>
              <w:rPr>
                <w:b/>
              </w:rPr>
              <w:pPrChange w:id="25" w:author="Marshall B. Hunt" w:date="2015-07-05T11:56:00Z">
                <w:pPr>
                  <w:ind w:left="0"/>
                </w:pPr>
              </w:pPrChange>
            </w:pPr>
          </w:p>
        </w:tc>
        <w:tc>
          <w:tcPr>
            <w:tcW w:w="3360" w:type="dxa"/>
            <w:vMerge/>
          </w:tcPr>
          <w:p w14:paraId="44D79128" w14:textId="77777777" w:rsidR="006A2678" w:rsidRPr="0018769E" w:rsidRDefault="006A2678" w:rsidP="0042703B">
            <w:pPr>
              <w:keepNext/>
              <w:keepLines/>
              <w:ind w:left="0"/>
              <w:rPr>
                <w:b/>
              </w:rPr>
              <w:pPrChange w:id="26" w:author="Marshall B. Hunt" w:date="2015-07-05T11:56:00Z">
                <w:pPr>
                  <w:ind w:left="0"/>
                </w:pPr>
              </w:pPrChange>
            </w:pPr>
          </w:p>
        </w:tc>
        <w:tc>
          <w:tcPr>
            <w:tcW w:w="1530" w:type="dxa"/>
          </w:tcPr>
          <w:p w14:paraId="1CE892B6" w14:textId="77777777" w:rsidR="006A2678" w:rsidRDefault="006A2678" w:rsidP="0042703B">
            <w:pPr>
              <w:keepNext/>
              <w:keepLines/>
              <w:ind w:left="0"/>
              <w:rPr>
                <w:b/>
              </w:rPr>
              <w:pPrChange w:id="27" w:author="Marshall B. Hunt" w:date="2015-07-05T11:56:00Z">
                <w:pPr>
                  <w:ind w:left="0"/>
                </w:pPr>
              </w:pPrChange>
            </w:pPr>
            <w:r>
              <w:rPr>
                <w:b/>
              </w:rPr>
              <w:t>Consultant Report</w:t>
            </w:r>
            <w:r>
              <w:rPr>
                <w:b/>
              </w:rPr>
              <w:br/>
            </w:r>
            <w:r w:rsidRPr="0018769E">
              <w:rPr>
                <w:b/>
              </w:rPr>
              <w:t>Table 8-B.6.5</w:t>
            </w:r>
          </w:p>
        </w:tc>
        <w:tc>
          <w:tcPr>
            <w:tcW w:w="1530" w:type="dxa"/>
          </w:tcPr>
          <w:p w14:paraId="2151082A" w14:textId="77777777" w:rsidR="006A2678" w:rsidRDefault="006A2678" w:rsidP="0042703B">
            <w:pPr>
              <w:keepNext/>
              <w:keepLines/>
              <w:ind w:left="0"/>
              <w:rPr>
                <w:b/>
              </w:rPr>
              <w:pPrChange w:id="28" w:author="Marshall B. Hunt" w:date="2015-07-05T11:56:00Z">
                <w:pPr>
                  <w:ind w:left="0"/>
                </w:pPr>
              </w:pPrChange>
            </w:pPr>
            <w:r>
              <w:rPr>
                <w:b/>
              </w:rPr>
              <w:t xml:space="preserve">Current Analysis </w:t>
            </w:r>
            <w:r w:rsidRPr="0018769E">
              <w:rPr>
                <w:b/>
              </w:rPr>
              <w:t>Table 8D.2.19</w:t>
            </w:r>
          </w:p>
        </w:tc>
      </w:tr>
      <w:tr w:rsidR="006A2678" w14:paraId="1C707522" w14:textId="77777777" w:rsidTr="009C53AD">
        <w:trPr>
          <w:jc w:val="center"/>
        </w:trPr>
        <w:tc>
          <w:tcPr>
            <w:tcW w:w="1419" w:type="dxa"/>
          </w:tcPr>
          <w:p w14:paraId="3B46D28C" w14:textId="77777777" w:rsidR="006A2678" w:rsidRPr="0018769E" w:rsidRDefault="006A2678" w:rsidP="0042703B">
            <w:pPr>
              <w:keepNext/>
              <w:keepLines/>
              <w:ind w:left="0"/>
              <w:pPrChange w:id="29" w:author="Marshall B. Hunt" w:date="2015-07-05T11:56:00Z">
                <w:pPr>
                  <w:ind w:left="0"/>
                </w:pPr>
              </w:pPrChange>
            </w:pPr>
            <w:r w:rsidRPr="0018769E">
              <w:t>Natural Draft</w:t>
            </w:r>
          </w:p>
        </w:tc>
        <w:tc>
          <w:tcPr>
            <w:tcW w:w="1516" w:type="dxa"/>
          </w:tcPr>
          <w:p w14:paraId="270829F1" w14:textId="77777777" w:rsidR="006A2678" w:rsidRPr="0018769E" w:rsidRDefault="006A2678" w:rsidP="0042703B">
            <w:pPr>
              <w:keepNext/>
              <w:keepLines/>
              <w:ind w:left="0"/>
              <w:pPrChange w:id="30" w:author="Marshall B. Hunt" w:date="2015-07-05T11:56:00Z">
                <w:pPr>
                  <w:ind w:left="0"/>
                </w:pPr>
              </w:pPrChange>
            </w:pPr>
            <w:r w:rsidRPr="0018769E">
              <w:t>Condensing Furnace</w:t>
            </w:r>
          </w:p>
        </w:tc>
        <w:tc>
          <w:tcPr>
            <w:tcW w:w="3360" w:type="dxa"/>
          </w:tcPr>
          <w:p w14:paraId="7F3DB74C" w14:textId="77777777" w:rsidR="006A2678" w:rsidRPr="0018769E" w:rsidRDefault="006A2678" w:rsidP="0042703B">
            <w:pPr>
              <w:keepNext/>
              <w:keepLines/>
              <w:ind w:left="0"/>
              <w:pPrChange w:id="31" w:author="Marshall B. Hunt" w:date="2015-07-05T11:56:00Z">
                <w:pPr>
                  <w:ind w:left="0"/>
                </w:pPr>
              </w:pPrChange>
            </w:pPr>
            <w:r w:rsidRPr="0018769E">
              <w:t>Convert Water Heater from single wall to Type B vent Connector</w:t>
            </w:r>
          </w:p>
        </w:tc>
        <w:tc>
          <w:tcPr>
            <w:tcW w:w="1530" w:type="dxa"/>
          </w:tcPr>
          <w:p w14:paraId="7DADDA03" w14:textId="77777777" w:rsidR="006A2678" w:rsidRDefault="006A2678" w:rsidP="0042703B">
            <w:pPr>
              <w:keepNext/>
              <w:keepLines/>
              <w:ind w:left="0"/>
              <w:jc w:val="center"/>
              <w:pPrChange w:id="32" w:author="Marshall B. Hunt" w:date="2015-07-05T11:56:00Z">
                <w:pPr>
                  <w:ind w:left="0"/>
                  <w:jc w:val="center"/>
                </w:pPr>
              </w:pPrChange>
            </w:pPr>
            <w:r>
              <w:t>100%</w:t>
            </w:r>
          </w:p>
        </w:tc>
        <w:tc>
          <w:tcPr>
            <w:tcW w:w="1530" w:type="dxa"/>
          </w:tcPr>
          <w:p w14:paraId="1191AB97" w14:textId="77777777" w:rsidR="006A2678" w:rsidRDefault="006A2678" w:rsidP="0042703B">
            <w:pPr>
              <w:keepNext/>
              <w:keepLines/>
              <w:ind w:left="0"/>
              <w:jc w:val="center"/>
              <w:pPrChange w:id="33" w:author="Marshall B. Hunt" w:date="2015-07-05T11:56:00Z">
                <w:pPr>
                  <w:ind w:left="0"/>
                  <w:jc w:val="center"/>
                </w:pPr>
              </w:pPrChange>
            </w:pPr>
            <w:r>
              <w:t>100%</w:t>
            </w:r>
          </w:p>
        </w:tc>
      </w:tr>
      <w:tr w:rsidR="006A2678" w14:paraId="019E5F42" w14:textId="77777777" w:rsidTr="009C53AD">
        <w:trPr>
          <w:jc w:val="center"/>
        </w:trPr>
        <w:tc>
          <w:tcPr>
            <w:tcW w:w="1419" w:type="dxa"/>
          </w:tcPr>
          <w:p w14:paraId="214A5273" w14:textId="77777777" w:rsidR="006A2678" w:rsidRPr="0018769E" w:rsidRDefault="006A2678" w:rsidP="0042703B">
            <w:pPr>
              <w:keepNext/>
              <w:keepLines/>
              <w:ind w:left="0"/>
              <w:pPrChange w:id="34" w:author="Marshall B. Hunt" w:date="2015-07-05T11:56:00Z">
                <w:pPr>
                  <w:ind w:left="0"/>
                </w:pPr>
              </w:pPrChange>
            </w:pPr>
            <w:r w:rsidRPr="0018769E">
              <w:t>Natural Draft</w:t>
            </w:r>
          </w:p>
        </w:tc>
        <w:tc>
          <w:tcPr>
            <w:tcW w:w="1516" w:type="dxa"/>
          </w:tcPr>
          <w:p w14:paraId="3B49C8FD" w14:textId="77777777" w:rsidR="006A2678" w:rsidRPr="0018769E" w:rsidRDefault="006A2678" w:rsidP="0042703B">
            <w:pPr>
              <w:keepNext/>
              <w:keepLines/>
              <w:ind w:left="0"/>
              <w:pPrChange w:id="35" w:author="Marshall B. Hunt" w:date="2015-07-05T11:56:00Z">
                <w:pPr>
                  <w:ind w:left="0"/>
                </w:pPr>
              </w:pPrChange>
            </w:pPr>
            <w:r w:rsidRPr="0018769E">
              <w:t>Condensing Furnace</w:t>
            </w:r>
          </w:p>
        </w:tc>
        <w:tc>
          <w:tcPr>
            <w:tcW w:w="3360" w:type="dxa"/>
          </w:tcPr>
          <w:p w14:paraId="18B06921" w14:textId="77777777" w:rsidR="006A2678" w:rsidRPr="0018769E" w:rsidRDefault="006A2678" w:rsidP="0042703B">
            <w:pPr>
              <w:keepNext/>
              <w:keepLines/>
              <w:ind w:left="0"/>
              <w:pPrChange w:id="36" w:author="Marshall B. Hunt" w:date="2015-07-05T11:56:00Z">
                <w:pPr>
                  <w:ind w:left="0"/>
                </w:pPr>
              </w:pPrChange>
            </w:pPr>
            <w:r w:rsidRPr="0018769E">
              <w:t>Resizing Orphaned Water Heater Chimney or upgrading Metal Vent</w:t>
            </w:r>
          </w:p>
        </w:tc>
        <w:tc>
          <w:tcPr>
            <w:tcW w:w="1530" w:type="dxa"/>
          </w:tcPr>
          <w:p w14:paraId="42BDDAF3" w14:textId="77777777" w:rsidR="006A2678" w:rsidRPr="00FA2797" w:rsidRDefault="006A2678" w:rsidP="0042703B">
            <w:pPr>
              <w:keepNext/>
              <w:keepLines/>
              <w:ind w:left="0"/>
              <w:jc w:val="center"/>
              <w:rPr>
                <w:highlight w:val="lightGray"/>
              </w:rPr>
              <w:pPrChange w:id="37" w:author="Marshall B. Hunt" w:date="2015-07-05T11:56:00Z">
                <w:pPr>
                  <w:ind w:left="0"/>
                  <w:jc w:val="center"/>
                </w:pPr>
              </w:pPrChange>
            </w:pPr>
            <w:r w:rsidRPr="00FA2797">
              <w:rPr>
                <w:highlight w:val="lightGray"/>
              </w:rPr>
              <w:t>40%</w:t>
            </w:r>
          </w:p>
        </w:tc>
        <w:tc>
          <w:tcPr>
            <w:tcW w:w="1530" w:type="dxa"/>
          </w:tcPr>
          <w:p w14:paraId="08856C74" w14:textId="77777777" w:rsidR="006A2678" w:rsidRPr="00FA2797" w:rsidRDefault="006A2678" w:rsidP="0042703B">
            <w:pPr>
              <w:keepNext/>
              <w:keepLines/>
              <w:ind w:left="0"/>
              <w:jc w:val="center"/>
              <w:rPr>
                <w:highlight w:val="lightGray"/>
              </w:rPr>
              <w:pPrChange w:id="38" w:author="Marshall B. Hunt" w:date="2015-07-05T11:56:00Z">
                <w:pPr>
                  <w:ind w:left="0"/>
                  <w:jc w:val="center"/>
                </w:pPr>
              </w:pPrChange>
            </w:pPr>
            <w:r w:rsidRPr="00FA2797">
              <w:rPr>
                <w:highlight w:val="lightGray"/>
              </w:rPr>
              <w:t>75%</w:t>
            </w:r>
          </w:p>
        </w:tc>
      </w:tr>
      <w:tr w:rsidR="006A2678" w14:paraId="498EDEF7" w14:textId="77777777" w:rsidTr="009C53AD">
        <w:trPr>
          <w:jc w:val="center"/>
        </w:trPr>
        <w:tc>
          <w:tcPr>
            <w:tcW w:w="1419" w:type="dxa"/>
          </w:tcPr>
          <w:p w14:paraId="33B91489" w14:textId="77777777" w:rsidR="006A2678" w:rsidRPr="0018769E" w:rsidRDefault="006A2678" w:rsidP="0042703B">
            <w:pPr>
              <w:keepNext/>
              <w:keepLines/>
              <w:ind w:left="0"/>
              <w:pPrChange w:id="39" w:author="Marshall B. Hunt" w:date="2015-07-05T11:56:00Z">
                <w:pPr>
                  <w:ind w:left="0"/>
                </w:pPr>
              </w:pPrChange>
            </w:pPr>
            <w:r w:rsidRPr="0018769E">
              <w:t>Natural Draft or Fan Assisted</w:t>
            </w:r>
          </w:p>
        </w:tc>
        <w:tc>
          <w:tcPr>
            <w:tcW w:w="1516" w:type="dxa"/>
          </w:tcPr>
          <w:p w14:paraId="5E559007" w14:textId="77777777" w:rsidR="006A2678" w:rsidRPr="0018769E" w:rsidRDefault="006A2678" w:rsidP="0042703B">
            <w:pPr>
              <w:keepNext/>
              <w:keepLines/>
              <w:ind w:left="0"/>
              <w:pPrChange w:id="40" w:author="Marshall B. Hunt" w:date="2015-07-05T11:56:00Z">
                <w:pPr>
                  <w:ind w:left="0"/>
                </w:pPr>
              </w:pPrChange>
            </w:pPr>
            <w:r w:rsidRPr="0018769E">
              <w:t>Condensing Furnace</w:t>
            </w:r>
          </w:p>
        </w:tc>
        <w:tc>
          <w:tcPr>
            <w:tcW w:w="3360" w:type="dxa"/>
          </w:tcPr>
          <w:p w14:paraId="13835418" w14:textId="77777777" w:rsidR="006A2678" w:rsidRPr="0018769E" w:rsidRDefault="006A2678" w:rsidP="0042703B">
            <w:pPr>
              <w:keepNext/>
              <w:keepLines/>
              <w:ind w:left="0"/>
              <w:pPrChange w:id="41" w:author="Marshall B. Hunt" w:date="2015-07-05T11:56:00Z">
                <w:pPr>
                  <w:ind w:left="0"/>
                </w:pPr>
              </w:pPrChange>
            </w:pPr>
            <w:r w:rsidRPr="0018769E">
              <w:t>Reline all unlined chimneys for Orphaned Water Heater</w:t>
            </w:r>
          </w:p>
        </w:tc>
        <w:tc>
          <w:tcPr>
            <w:tcW w:w="1530" w:type="dxa"/>
          </w:tcPr>
          <w:p w14:paraId="303DDBF6" w14:textId="77777777" w:rsidR="006A2678" w:rsidRDefault="006A2678" w:rsidP="0042703B">
            <w:pPr>
              <w:keepNext/>
              <w:keepLines/>
              <w:ind w:left="0"/>
              <w:jc w:val="center"/>
              <w:pPrChange w:id="42" w:author="Marshall B. Hunt" w:date="2015-07-05T11:56:00Z">
                <w:pPr>
                  <w:ind w:left="0"/>
                  <w:jc w:val="center"/>
                </w:pPr>
              </w:pPrChange>
            </w:pPr>
            <w:r>
              <w:t>100%</w:t>
            </w:r>
          </w:p>
        </w:tc>
        <w:tc>
          <w:tcPr>
            <w:tcW w:w="1530" w:type="dxa"/>
          </w:tcPr>
          <w:p w14:paraId="502C2B88" w14:textId="77777777" w:rsidR="006A2678" w:rsidRDefault="006A2678" w:rsidP="0042703B">
            <w:pPr>
              <w:keepNext/>
              <w:keepLines/>
              <w:ind w:left="0"/>
              <w:jc w:val="center"/>
              <w:pPrChange w:id="43" w:author="Marshall B. Hunt" w:date="2015-07-05T11:56:00Z">
                <w:pPr>
                  <w:ind w:left="0"/>
                  <w:jc w:val="center"/>
                </w:pPr>
              </w:pPrChange>
            </w:pPr>
            <w:r>
              <w:t>100%</w:t>
            </w:r>
          </w:p>
        </w:tc>
      </w:tr>
      <w:tr w:rsidR="006A2678" w14:paraId="4CEFD221" w14:textId="77777777" w:rsidTr="009C53AD">
        <w:trPr>
          <w:jc w:val="center"/>
        </w:trPr>
        <w:tc>
          <w:tcPr>
            <w:tcW w:w="1419" w:type="dxa"/>
          </w:tcPr>
          <w:p w14:paraId="090C8C6A" w14:textId="77777777" w:rsidR="006A2678" w:rsidRPr="0018769E" w:rsidRDefault="006A2678" w:rsidP="0042703B">
            <w:pPr>
              <w:keepNext/>
              <w:keepLines/>
              <w:ind w:left="0"/>
              <w:pPrChange w:id="44" w:author="Marshall B. Hunt" w:date="2015-07-05T11:56:00Z">
                <w:pPr>
                  <w:ind w:left="0"/>
                </w:pPr>
              </w:pPrChange>
            </w:pPr>
            <w:r w:rsidRPr="0018769E">
              <w:t>Fan Assisted</w:t>
            </w:r>
          </w:p>
        </w:tc>
        <w:tc>
          <w:tcPr>
            <w:tcW w:w="1516" w:type="dxa"/>
          </w:tcPr>
          <w:p w14:paraId="41737A73" w14:textId="77777777" w:rsidR="006A2678" w:rsidRDefault="006A2678" w:rsidP="0042703B">
            <w:pPr>
              <w:keepNext/>
              <w:keepLines/>
              <w:ind w:left="0"/>
              <w:pPrChange w:id="45" w:author="Marshall B. Hunt" w:date="2015-07-05T11:56:00Z">
                <w:pPr>
                  <w:ind w:left="0"/>
                </w:pPr>
              </w:pPrChange>
            </w:pPr>
            <w:r w:rsidRPr="0018769E">
              <w:t>Condensing Furnace</w:t>
            </w:r>
          </w:p>
        </w:tc>
        <w:tc>
          <w:tcPr>
            <w:tcW w:w="3360" w:type="dxa"/>
          </w:tcPr>
          <w:p w14:paraId="062D739C" w14:textId="77777777" w:rsidR="006A2678" w:rsidRPr="0018769E" w:rsidRDefault="006A2678" w:rsidP="0042703B">
            <w:pPr>
              <w:keepNext/>
              <w:keepLines/>
              <w:ind w:left="0"/>
              <w:pPrChange w:id="46" w:author="Marshall B. Hunt" w:date="2015-07-05T11:56:00Z">
                <w:pPr>
                  <w:ind w:left="0"/>
                </w:pPr>
              </w:pPrChange>
            </w:pPr>
            <w:r w:rsidRPr="0018769E">
              <w:t>Resizing Orphaned Water Heater Chimney or upgrading Metal Vent</w:t>
            </w:r>
          </w:p>
        </w:tc>
        <w:tc>
          <w:tcPr>
            <w:tcW w:w="1530" w:type="dxa"/>
          </w:tcPr>
          <w:p w14:paraId="18B8D562" w14:textId="77777777" w:rsidR="006A2678" w:rsidRPr="00FA2797" w:rsidRDefault="006A2678" w:rsidP="0042703B">
            <w:pPr>
              <w:keepNext/>
              <w:keepLines/>
              <w:ind w:left="0"/>
              <w:jc w:val="center"/>
              <w:rPr>
                <w:highlight w:val="lightGray"/>
              </w:rPr>
              <w:pPrChange w:id="47" w:author="Marshall B. Hunt" w:date="2015-07-05T11:56:00Z">
                <w:pPr>
                  <w:ind w:left="0"/>
                  <w:jc w:val="center"/>
                </w:pPr>
              </w:pPrChange>
            </w:pPr>
            <w:r w:rsidRPr="00FA2797">
              <w:rPr>
                <w:highlight w:val="lightGray"/>
              </w:rPr>
              <w:t>20%</w:t>
            </w:r>
          </w:p>
        </w:tc>
        <w:tc>
          <w:tcPr>
            <w:tcW w:w="1530" w:type="dxa"/>
          </w:tcPr>
          <w:p w14:paraId="05DEBC70" w14:textId="77777777" w:rsidR="006A2678" w:rsidRPr="00FA2797" w:rsidRDefault="006A2678" w:rsidP="0042703B">
            <w:pPr>
              <w:keepNext/>
              <w:keepLines/>
              <w:ind w:left="0"/>
              <w:jc w:val="center"/>
              <w:rPr>
                <w:highlight w:val="lightGray"/>
              </w:rPr>
              <w:pPrChange w:id="48" w:author="Marshall B. Hunt" w:date="2015-07-05T11:56:00Z">
                <w:pPr>
                  <w:ind w:left="0"/>
                  <w:jc w:val="center"/>
                </w:pPr>
              </w:pPrChange>
            </w:pPr>
            <w:r w:rsidRPr="00FA2797">
              <w:rPr>
                <w:highlight w:val="lightGray"/>
              </w:rPr>
              <w:t>40%</w:t>
            </w:r>
          </w:p>
        </w:tc>
      </w:tr>
    </w:tbl>
    <w:p w14:paraId="03B02F1B" w14:textId="77777777" w:rsidR="00D135FE" w:rsidRDefault="00D135FE" w:rsidP="00D135FE"/>
    <w:p w14:paraId="63DAE553" w14:textId="5FD35576" w:rsidR="00D135FE" w:rsidRDefault="00C02600" w:rsidP="00D135FE">
      <w:r>
        <w:rPr>
          <w:b/>
        </w:rPr>
        <w:t xml:space="preserve">Eliminate added costs for new owner installations common-vented with non-condensing water heaters: </w:t>
      </w:r>
      <w:r w:rsidR="00D135FE" w:rsidRPr="00A96CC2">
        <w:t xml:space="preserve">For new owner </w:t>
      </w:r>
      <w:r w:rsidR="00D135FE">
        <w:t xml:space="preserve">of condensing </w:t>
      </w:r>
      <w:r w:rsidR="00D135FE" w:rsidRPr="0012497F">
        <w:t>NWGFs</w:t>
      </w:r>
      <w:r w:rsidR="00D135FE" w:rsidRPr="00A96CC2">
        <w:t>, DOE included a common vent</w:t>
      </w:r>
      <w:r w:rsidR="00D135FE">
        <w:t>ing</w:t>
      </w:r>
      <w:r w:rsidR="00D135FE" w:rsidRPr="00A96CC2">
        <w:t xml:space="preserve"> adder of $</w:t>
      </w:r>
      <w:r w:rsidR="00D135FE">
        <w:t>956</w:t>
      </w:r>
      <w:r w:rsidR="00D135FE" w:rsidRPr="00A96CC2">
        <w:t xml:space="preserve"> </w:t>
      </w:r>
      <w:r w:rsidR="00D135FE">
        <w:t xml:space="preserve">for all new owner </w:t>
      </w:r>
      <w:r w:rsidR="00D135FE" w:rsidRPr="00A96CC2">
        <w:t>installations planned to be commonly vented with non-condensing design option</w:t>
      </w:r>
      <w:r w:rsidR="00D135FE">
        <w:t xml:space="preserve"> (</w:t>
      </w:r>
      <w:r w:rsidR="00D135FE" w:rsidRPr="00A96CC2">
        <w:t>Table 8D.2.2</w:t>
      </w:r>
      <w:r w:rsidR="00D135FE">
        <w:t xml:space="preserve">7), which was assumed to represent </w:t>
      </w:r>
      <w:r w:rsidR="00D135FE" w:rsidRPr="00A96CC2">
        <w:t xml:space="preserve">45% of the </w:t>
      </w:r>
      <w:r w:rsidR="00D135FE">
        <w:t>new owners</w:t>
      </w:r>
      <w:r w:rsidR="00D135FE" w:rsidRPr="00A96CC2">
        <w:t xml:space="preserve">. </w:t>
      </w:r>
      <w:r w:rsidR="00D135FE">
        <w:t>T</w:t>
      </w:r>
      <w:r w:rsidR="00D135FE" w:rsidRPr="00A96CC2">
        <w:t xml:space="preserve">his adder is </w:t>
      </w:r>
      <w:r w:rsidR="00D135FE">
        <w:t>un</w:t>
      </w:r>
      <w:r w:rsidR="00D135FE" w:rsidRPr="00A96CC2">
        <w:t xml:space="preserve">necessary. Homes in this category do not have </w:t>
      </w:r>
      <w:r>
        <w:t xml:space="preserve">a furnace, and therefore do not have </w:t>
      </w:r>
      <w:r w:rsidR="00D135FE" w:rsidRPr="00A96CC2">
        <w:t>an existing</w:t>
      </w:r>
      <w:r w:rsidR="00D135FE">
        <w:t xml:space="preserve"> common vent for the</w:t>
      </w:r>
      <w:r w:rsidR="00D135FE" w:rsidRPr="00A96CC2">
        <w:t xml:space="preserve"> furnace and water heater</w:t>
      </w:r>
      <w:r w:rsidR="00D135FE">
        <w:t>.</w:t>
      </w:r>
      <w:r w:rsidR="00D135FE" w:rsidRPr="00A96CC2">
        <w:t xml:space="preserve"> </w:t>
      </w:r>
      <w:r w:rsidR="00D135FE">
        <w:t>A</w:t>
      </w:r>
      <w:r w:rsidR="00D135FE" w:rsidRPr="00A96CC2">
        <w:t xml:space="preserve">dding a </w:t>
      </w:r>
      <w:r w:rsidR="00D135FE">
        <w:t xml:space="preserve">dedicated vent for the new </w:t>
      </w:r>
      <w:r w:rsidR="00D135FE" w:rsidRPr="00A96CC2">
        <w:t xml:space="preserve">condensing </w:t>
      </w:r>
      <w:r w:rsidR="00D135FE">
        <w:t>NWGF does not affect the existing vent for the water heater and</w:t>
      </w:r>
      <w:r w:rsidR="00D135FE" w:rsidRPr="00A96CC2">
        <w:t xml:space="preserve">, </w:t>
      </w:r>
      <w:r w:rsidR="00D135FE">
        <w:t>therefore, do</w:t>
      </w:r>
      <w:r>
        <w:t>es</w:t>
      </w:r>
      <w:r w:rsidR="00D135FE">
        <w:t xml:space="preserve"> not trigger any</w:t>
      </w:r>
      <w:r w:rsidR="00D135FE" w:rsidRPr="00A96CC2">
        <w:t xml:space="preserve"> </w:t>
      </w:r>
      <w:r w:rsidR="00D135FE">
        <w:t xml:space="preserve">vent </w:t>
      </w:r>
      <w:r w:rsidR="00D135FE" w:rsidRPr="00A96CC2">
        <w:t xml:space="preserve">upgrade </w:t>
      </w:r>
      <w:r w:rsidR="00D135FE">
        <w:t xml:space="preserve">requirement for </w:t>
      </w:r>
      <w:r w:rsidR="00D135FE" w:rsidRPr="00A96CC2">
        <w:t>the existing water heater. This common vent</w:t>
      </w:r>
      <w:r w:rsidR="00D135FE">
        <w:t>ing</w:t>
      </w:r>
      <w:r w:rsidR="00D135FE" w:rsidRPr="00A96CC2">
        <w:t xml:space="preserve"> adder should be removed</w:t>
      </w:r>
      <w:r w:rsidR="00D135FE">
        <w:t xml:space="preserve"> from the LCC analysis</w:t>
      </w:r>
      <w:r w:rsidR="00D135FE" w:rsidRPr="00A96CC2">
        <w:t>.</w:t>
      </w:r>
    </w:p>
    <w:p w14:paraId="5F9C8029" w14:textId="57F7FBB6" w:rsidR="00D135FE" w:rsidRDefault="00B27267" w:rsidP="00D135FE">
      <w:r>
        <w:rPr>
          <w:b/>
        </w:rPr>
        <w:t>Reduce the frequency of</w:t>
      </w:r>
      <w:r w:rsidR="001C35E0">
        <w:rPr>
          <w:b/>
        </w:rPr>
        <w:t xml:space="preserve"> common-vented new construction homes: </w:t>
      </w:r>
      <w:r w:rsidR="00D135FE">
        <w:t>DOE assumed that 44% of the new construction homes planned to have a common venting system for</w:t>
      </w:r>
      <w:r w:rsidR="00D135FE" w:rsidRPr="00A53749">
        <w:t xml:space="preserve"> non-condensing </w:t>
      </w:r>
      <w:r w:rsidR="00D135FE">
        <w:t>NWGF and water heater as the baseline design option (</w:t>
      </w:r>
      <w:r w:rsidR="00D135FE" w:rsidRPr="00A96CC2">
        <w:t>Table 8D.2.2</w:t>
      </w:r>
      <w:r w:rsidR="00D135FE">
        <w:t xml:space="preserve">8). As we indicated above, this assumption does not properly reflect the market trend of increased adoption of high-efficiency water heaters, especially for new construction home. In California, due to the 2016 Title 24 building standards, all new construction homes would have </w:t>
      </w:r>
      <w:proofErr w:type="spellStart"/>
      <w:r w:rsidR="00D135FE">
        <w:t>tankless</w:t>
      </w:r>
      <w:proofErr w:type="spellEnd"/>
      <w:r w:rsidR="00D135FE">
        <w:t xml:space="preserve"> water heater or those with equivalent or better efficiency by 2021. Therefore, this cost adder should not be applicable to California new construction homes. According, the applicable percentag</w:t>
      </w:r>
      <w:r w:rsidR="001C35E0">
        <w:t xml:space="preserve">e nationwide would reduce from 44% to 40%, as </w:t>
      </w:r>
      <w:r w:rsidR="00D135FE">
        <w:t xml:space="preserve">California represents about 10% of the national NWGF shipment). Assuming other states will reduce the market share of non-condensing storage water heaters by 30%, the applicable </w:t>
      </w:r>
      <w:r w:rsidR="000A5F0A">
        <w:t xml:space="preserve">nationwide </w:t>
      </w:r>
      <w:r w:rsidR="00D135FE">
        <w:t>market share for the common venting adder would be 28%</w:t>
      </w:r>
      <w:ins w:id="49" w:author="Marshall B. Hunt" w:date="2015-07-05T12:16:00Z">
        <w:r w:rsidR="00F227B3">
          <w:t>.</w:t>
        </w:r>
      </w:ins>
      <w:del w:id="50" w:author="Marshall B. Hunt" w:date="2015-07-05T12:16:00Z">
        <w:r w:rsidR="00D135FE" w:rsidDel="00F227B3">
          <w:delText xml:space="preserve"> (40% * (1-</w:delText>
        </w:r>
        <w:commentRangeStart w:id="51"/>
        <w:r w:rsidR="00D135FE" w:rsidDel="00F227B3">
          <w:delText>30</w:delText>
        </w:r>
      </w:del>
      <w:commentRangeEnd w:id="51"/>
      <w:r w:rsidR="00F227B3">
        <w:rPr>
          <w:rStyle w:val="CommentReference"/>
        </w:rPr>
        <w:commentReference w:id="51"/>
      </w:r>
      <w:del w:id="52" w:author="Marshall B. Hunt" w:date="2015-07-05T12:16:00Z">
        <w:r w:rsidR="00D135FE" w:rsidDel="00F227B3">
          <w:delText>%))</w:delText>
        </w:r>
      </w:del>
      <w:r w:rsidR="00D135FE">
        <w:t>.</w:t>
      </w:r>
    </w:p>
    <w:p w14:paraId="11ED8B06" w14:textId="0E3D9FBE" w:rsidR="00EE677F" w:rsidRDefault="00FC3D53">
      <w:pPr>
        <w:pStyle w:val="Heading2"/>
        <w:numPr>
          <w:ilvl w:val="0"/>
          <w:numId w:val="48"/>
        </w:numPr>
      </w:pPr>
      <w:r>
        <w:t>I</w:t>
      </w:r>
      <w:r w:rsidR="00D135FE">
        <w:t>nclude learning curve effects</w:t>
      </w:r>
      <w:r>
        <w:t xml:space="preserve"> on product price trends</w:t>
      </w:r>
    </w:p>
    <w:p w14:paraId="60FB2EC2" w14:textId="1476D7B2" w:rsidR="00EE677F" w:rsidRDefault="00FC3D53">
      <w:r>
        <w:t xml:space="preserve">The NOPR TSD section </w:t>
      </w:r>
      <w:r w:rsidR="00D135FE">
        <w:t>8A.4 states the product price trends are set to decreas</w:t>
      </w:r>
      <w:ins w:id="53" w:author="Marshall B. Hunt" w:date="2015-07-05T12:17:00Z">
        <w:r w:rsidR="00F227B3">
          <w:t>e</w:t>
        </w:r>
      </w:ins>
      <w:del w:id="54" w:author="Marshall B. Hunt" w:date="2015-07-05T12:17:00Z">
        <w:r w:rsidR="00D135FE" w:rsidDel="00F227B3">
          <w:delText>ing</w:delText>
        </w:r>
      </w:del>
      <w:r w:rsidR="00D135FE">
        <w:t xml:space="preserve">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and results indicate otherwise. Please provide clarification for the learning factor used.</w:t>
      </w:r>
    </w:p>
    <w:p w14:paraId="1F3DB08E" w14:textId="77777777" w:rsidR="00EE677F" w:rsidRDefault="00D135FE">
      <w:pPr>
        <w:pStyle w:val="Heading2"/>
        <w:numPr>
          <w:ilvl w:val="0"/>
          <w:numId w:val="48"/>
        </w:numPr>
      </w:pPr>
      <w:r>
        <w:lastRenderedPageBreak/>
        <w:t>LCC analysis summary</w:t>
      </w:r>
    </w:p>
    <w:p w14:paraId="1CAAF687" w14:textId="0D86A3BC" w:rsidR="00EE677F" w:rsidRDefault="00D135FE">
      <w:r>
        <w:t xml:space="preserve">We ran </w:t>
      </w:r>
      <w:r w:rsidR="005157FC">
        <w:t xml:space="preserve">10,000 trials using </w:t>
      </w:r>
      <w:r>
        <w:t>the DOE’s LCC tool with modified assumptions</w:t>
      </w:r>
      <w:r w:rsidR="005157FC">
        <w:t xml:space="preserve"> as described above</w:t>
      </w:r>
      <w:r>
        <w:t>, namely:</w:t>
      </w:r>
    </w:p>
    <w:p w14:paraId="65C062B2" w14:textId="3452A912" w:rsidR="00EE677F" w:rsidRDefault="00FE5DB3">
      <w:pPr>
        <w:pStyle w:val="ListParagraph"/>
        <w:numPr>
          <w:ilvl w:val="0"/>
          <w:numId w:val="49"/>
        </w:numPr>
      </w:pPr>
      <w:r>
        <w:t>Setting incremental markups set to equal 1</w:t>
      </w:r>
    </w:p>
    <w:p w14:paraId="209735B6" w14:textId="3BAD2AAB" w:rsidR="00EE677F" w:rsidRDefault="00FE5DB3">
      <w:pPr>
        <w:pStyle w:val="ListParagraph"/>
        <w:numPr>
          <w:ilvl w:val="0"/>
          <w:numId w:val="49"/>
        </w:numPr>
      </w:pPr>
      <w:r>
        <w:t>Using consultant report frequencies, setting new-owner common-vent installations to 0%, and setting common-vented new construction homes to 28%</w:t>
      </w:r>
    </w:p>
    <w:p w14:paraId="63F441EF" w14:textId="37BD1A9A" w:rsidR="00EE677F" w:rsidRDefault="00FE5DB3">
      <w:pPr>
        <w:pStyle w:val="ListParagraph"/>
        <w:numPr>
          <w:ilvl w:val="0"/>
          <w:numId w:val="49"/>
        </w:numPr>
      </w:pPr>
      <w:r>
        <w:t>Setting decreasing product price trends to include learning</w:t>
      </w:r>
    </w:p>
    <w:p w14:paraId="2C925E38" w14:textId="77777777" w:rsidR="00EE677F" w:rsidRDefault="00D135FE">
      <w:pPr>
        <w:pStyle w:val="ListParagraph"/>
        <w:numPr>
          <w:ilvl w:val="0"/>
          <w:numId w:val="49"/>
        </w:numPr>
      </w:pPr>
      <w:r>
        <w:t>With 1, 2, and 3 combined</w:t>
      </w:r>
    </w:p>
    <w:p w14:paraId="06354F82" w14:textId="77777777" w:rsidR="00EE677F" w:rsidRDefault="00D135FE">
      <w:r>
        <w:t>LCC analysis was performed for the entire U.S., Northern U.S., Southern U.S., and California.</w:t>
      </w:r>
    </w:p>
    <w:p w14:paraId="4637D471" w14:textId="47B75969" w:rsidR="00EE677F" w:rsidRDefault="00524215">
      <w:r>
        <w:rPr>
          <w:b/>
        </w:rPr>
        <w:t>Original Results</w:t>
      </w:r>
    </w:p>
    <w:tbl>
      <w:tblPr>
        <w:tblStyle w:val="TableGrid"/>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524215" w:rsidRPr="005157FC" w14:paraId="57098E29" w14:textId="77777777" w:rsidTr="005157FC">
        <w:tc>
          <w:tcPr>
            <w:tcW w:w="1705" w:type="dxa"/>
            <w:vMerge w:val="restart"/>
          </w:tcPr>
          <w:p w14:paraId="46C3E70E" w14:textId="77777777" w:rsidR="00524215" w:rsidRPr="005157FC" w:rsidRDefault="00524215" w:rsidP="005157FC">
            <w:pPr>
              <w:ind w:left="0"/>
              <w:rPr>
                <w:sz w:val="20"/>
                <w:szCs w:val="20"/>
              </w:rPr>
            </w:pPr>
            <w:r w:rsidRPr="005157FC">
              <w:rPr>
                <w:sz w:val="20"/>
                <w:szCs w:val="20"/>
              </w:rPr>
              <w:t>NWGF Efficiency Level</w:t>
            </w:r>
          </w:p>
        </w:tc>
        <w:tc>
          <w:tcPr>
            <w:tcW w:w="1840" w:type="dxa"/>
            <w:gridSpan w:val="2"/>
          </w:tcPr>
          <w:p w14:paraId="6483CD10" w14:textId="77777777" w:rsidR="00524215" w:rsidRPr="005157FC" w:rsidRDefault="00524215" w:rsidP="005157FC">
            <w:pPr>
              <w:ind w:left="0"/>
              <w:jc w:val="center"/>
              <w:rPr>
                <w:sz w:val="20"/>
                <w:szCs w:val="20"/>
              </w:rPr>
            </w:pPr>
            <w:r w:rsidRPr="005157FC">
              <w:rPr>
                <w:sz w:val="20"/>
                <w:szCs w:val="20"/>
              </w:rPr>
              <w:t>U.S.</w:t>
            </w:r>
          </w:p>
        </w:tc>
        <w:tc>
          <w:tcPr>
            <w:tcW w:w="2007" w:type="dxa"/>
            <w:gridSpan w:val="2"/>
          </w:tcPr>
          <w:p w14:paraId="2F5EDBDF" w14:textId="77777777" w:rsidR="00524215" w:rsidRPr="005157FC" w:rsidRDefault="00524215" w:rsidP="005157FC">
            <w:pPr>
              <w:ind w:left="0"/>
              <w:jc w:val="center"/>
              <w:rPr>
                <w:sz w:val="20"/>
                <w:szCs w:val="20"/>
              </w:rPr>
            </w:pPr>
            <w:r w:rsidRPr="005157FC">
              <w:rPr>
                <w:sz w:val="20"/>
                <w:szCs w:val="20"/>
              </w:rPr>
              <w:t>Northern U.S.</w:t>
            </w:r>
          </w:p>
        </w:tc>
        <w:tc>
          <w:tcPr>
            <w:tcW w:w="0" w:type="auto"/>
            <w:gridSpan w:val="2"/>
          </w:tcPr>
          <w:p w14:paraId="6525B38E" w14:textId="77777777" w:rsidR="00524215" w:rsidRPr="005157FC" w:rsidRDefault="00524215" w:rsidP="005157FC">
            <w:pPr>
              <w:ind w:left="0"/>
              <w:jc w:val="center"/>
              <w:rPr>
                <w:sz w:val="20"/>
                <w:szCs w:val="20"/>
              </w:rPr>
            </w:pPr>
            <w:r w:rsidRPr="005157FC">
              <w:rPr>
                <w:sz w:val="20"/>
                <w:szCs w:val="20"/>
              </w:rPr>
              <w:t>Southern U.S.</w:t>
            </w:r>
          </w:p>
        </w:tc>
        <w:tc>
          <w:tcPr>
            <w:tcW w:w="0" w:type="auto"/>
            <w:gridSpan w:val="2"/>
          </w:tcPr>
          <w:p w14:paraId="72663B9B" w14:textId="71101C79" w:rsidR="00524215" w:rsidRPr="005157FC" w:rsidRDefault="00524215" w:rsidP="005157FC">
            <w:pPr>
              <w:ind w:left="0"/>
              <w:jc w:val="center"/>
              <w:rPr>
                <w:sz w:val="20"/>
                <w:szCs w:val="20"/>
              </w:rPr>
            </w:pPr>
            <w:r w:rsidRPr="005157FC">
              <w:rPr>
                <w:sz w:val="20"/>
                <w:szCs w:val="20"/>
              </w:rPr>
              <w:t>California Only</w:t>
            </w:r>
          </w:p>
        </w:tc>
      </w:tr>
      <w:tr w:rsidR="00524215" w:rsidRPr="005157FC" w14:paraId="69CADC59" w14:textId="77777777" w:rsidTr="005157FC">
        <w:tc>
          <w:tcPr>
            <w:tcW w:w="1705" w:type="dxa"/>
            <w:vMerge/>
          </w:tcPr>
          <w:p w14:paraId="249FA79E" w14:textId="77777777" w:rsidR="00524215" w:rsidRPr="005157FC" w:rsidRDefault="00524215" w:rsidP="005157FC">
            <w:pPr>
              <w:ind w:left="0"/>
              <w:rPr>
                <w:sz w:val="20"/>
                <w:szCs w:val="20"/>
              </w:rPr>
            </w:pPr>
          </w:p>
        </w:tc>
        <w:tc>
          <w:tcPr>
            <w:tcW w:w="990" w:type="dxa"/>
          </w:tcPr>
          <w:p w14:paraId="1BEE2162" w14:textId="77777777" w:rsidR="00524215" w:rsidRPr="005157FC" w:rsidRDefault="00524215" w:rsidP="005157FC">
            <w:pPr>
              <w:ind w:left="0"/>
              <w:jc w:val="center"/>
              <w:rPr>
                <w:sz w:val="20"/>
                <w:szCs w:val="20"/>
              </w:rPr>
            </w:pPr>
            <w:r w:rsidRPr="005157FC">
              <w:rPr>
                <w:sz w:val="20"/>
                <w:szCs w:val="20"/>
              </w:rPr>
              <w:t>LCC</w:t>
            </w:r>
          </w:p>
        </w:tc>
        <w:tc>
          <w:tcPr>
            <w:tcW w:w="850" w:type="dxa"/>
          </w:tcPr>
          <w:p w14:paraId="19835CEF" w14:textId="77777777" w:rsidR="00524215" w:rsidRPr="005157FC" w:rsidRDefault="00524215" w:rsidP="005157FC">
            <w:pPr>
              <w:ind w:left="0"/>
              <w:jc w:val="center"/>
              <w:rPr>
                <w:sz w:val="20"/>
                <w:szCs w:val="20"/>
              </w:rPr>
            </w:pPr>
            <w:r w:rsidRPr="005157FC">
              <w:rPr>
                <w:sz w:val="20"/>
                <w:szCs w:val="20"/>
              </w:rPr>
              <w:t>LCC Savings</w:t>
            </w:r>
          </w:p>
        </w:tc>
        <w:tc>
          <w:tcPr>
            <w:tcW w:w="975" w:type="dxa"/>
          </w:tcPr>
          <w:p w14:paraId="5F90F65E" w14:textId="77777777" w:rsidR="00524215" w:rsidRPr="005157FC" w:rsidRDefault="00524215" w:rsidP="005157FC">
            <w:pPr>
              <w:ind w:left="0"/>
              <w:jc w:val="center"/>
              <w:rPr>
                <w:sz w:val="20"/>
                <w:szCs w:val="20"/>
              </w:rPr>
            </w:pPr>
            <w:r w:rsidRPr="005157FC">
              <w:rPr>
                <w:sz w:val="20"/>
                <w:szCs w:val="20"/>
              </w:rPr>
              <w:t>LCC</w:t>
            </w:r>
          </w:p>
        </w:tc>
        <w:tc>
          <w:tcPr>
            <w:tcW w:w="1032" w:type="dxa"/>
          </w:tcPr>
          <w:p w14:paraId="5748612B" w14:textId="77777777" w:rsidR="00524215" w:rsidRPr="005157FC" w:rsidRDefault="00524215" w:rsidP="005157FC">
            <w:pPr>
              <w:ind w:left="0"/>
              <w:jc w:val="center"/>
              <w:rPr>
                <w:sz w:val="20"/>
                <w:szCs w:val="20"/>
              </w:rPr>
            </w:pPr>
            <w:r w:rsidRPr="005157FC">
              <w:rPr>
                <w:sz w:val="20"/>
                <w:szCs w:val="20"/>
              </w:rPr>
              <w:t>LCC Savings</w:t>
            </w:r>
          </w:p>
        </w:tc>
        <w:tc>
          <w:tcPr>
            <w:tcW w:w="908" w:type="dxa"/>
          </w:tcPr>
          <w:p w14:paraId="0EC4937A" w14:textId="77777777" w:rsidR="00524215" w:rsidRPr="005157FC" w:rsidRDefault="00524215" w:rsidP="005157FC">
            <w:pPr>
              <w:ind w:left="0"/>
              <w:jc w:val="center"/>
              <w:rPr>
                <w:sz w:val="20"/>
                <w:szCs w:val="20"/>
              </w:rPr>
            </w:pPr>
            <w:r w:rsidRPr="005157FC">
              <w:rPr>
                <w:sz w:val="20"/>
                <w:szCs w:val="20"/>
              </w:rPr>
              <w:t>LCC</w:t>
            </w:r>
          </w:p>
        </w:tc>
        <w:tc>
          <w:tcPr>
            <w:tcW w:w="986" w:type="dxa"/>
          </w:tcPr>
          <w:p w14:paraId="265A7588" w14:textId="77777777" w:rsidR="00524215" w:rsidRPr="005157FC" w:rsidRDefault="00524215" w:rsidP="005157FC">
            <w:pPr>
              <w:ind w:left="0"/>
              <w:jc w:val="center"/>
              <w:rPr>
                <w:sz w:val="20"/>
                <w:szCs w:val="20"/>
              </w:rPr>
            </w:pPr>
            <w:r w:rsidRPr="005157FC">
              <w:rPr>
                <w:sz w:val="20"/>
                <w:szCs w:val="20"/>
              </w:rPr>
              <w:t>LCC Savings</w:t>
            </w:r>
          </w:p>
        </w:tc>
        <w:tc>
          <w:tcPr>
            <w:tcW w:w="904" w:type="dxa"/>
          </w:tcPr>
          <w:p w14:paraId="775B9D72" w14:textId="77777777" w:rsidR="00524215" w:rsidRPr="005157FC" w:rsidRDefault="00524215" w:rsidP="005157FC">
            <w:pPr>
              <w:ind w:left="0"/>
              <w:jc w:val="center"/>
              <w:rPr>
                <w:sz w:val="20"/>
                <w:szCs w:val="20"/>
              </w:rPr>
            </w:pPr>
            <w:r w:rsidRPr="005157FC">
              <w:rPr>
                <w:sz w:val="20"/>
                <w:szCs w:val="20"/>
              </w:rPr>
              <w:t>LCC</w:t>
            </w:r>
          </w:p>
        </w:tc>
        <w:tc>
          <w:tcPr>
            <w:tcW w:w="990" w:type="dxa"/>
          </w:tcPr>
          <w:p w14:paraId="10B423B7" w14:textId="77777777" w:rsidR="00524215" w:rsidRPr="005157FC" w:rsidRDefault="00524215" w:rsidP="005157FC">
            <w:pPr>
              <w:ind w:left="0"/>
              <w:jc w:val="center"/>
              <w:rPr>
                <w:sz w:val="20"/>
                <w:szCs w:val="20"/>
              </w:rPr>
            </w:pPr>
            <w:r w:rsidRPr="005157FC">
              <w:rPr>
                <w:sz w:val="20"/>
                <w:szCs w:val="20"/>
              </w:rPr>
              <w:t>LCC Savings</w:t>
            </w:r>
          </w:p>
        </w:tc>
      </w:tr>
      <w:tr w:rsidR="005157FC" w:rsidRPr="005157FC" w14:paraId="64C7F014" w14:textId="77777777" w:rsidTr="005157FC">
        <w:tc>
          <w:tcPr>
            <w:tcW w:w="1705" w:type="dxa"/>
            <w:vAlign w:val="bottom"/>
          </w:tcPr>
          <w:p w14:paraId="26743D5E" w14:textId="77777777" w:rsidR="005157FC" w:rsidRPr="005157FC" w:rsidRDefault="005157FC" w:rsidP="005157FC">
            <w:pPr>
              <w:ind w:left="0"/>
              <w:rPr>
                <w:sz w:val="20"/>
                <w:szCs w:val="20"/>
              </w:rPr>
            </w:pPr>
            <w:r w:rsidRPr="005157FC">
              <w:rPr>
                <w:sz w:val="20"/>
                <w:szCs w:val="20"/>
              </w:rPr>
              <w:t>0 - NWGF 80%</w:t>
            </w:r>
          </w:p>
        </w:tc>
        <w:tc>
          <w:tcPr>
            <w:tcW w:w="990" w:type="dxa"/>
            <w:vAlign w:val="bottom"/>
          </w:tcPr>
          <w:p w14:paraId="5462FC5D" w14:textId="77777777" w:rsidR="005157FC" w:rsidRPr="005157FC" w:rsidRDefault="005157FC" w:rsidP="005157FC">
            <w:pPr>
              <w:jc w:val="right"/>
              <w:rPr>
                <w:sz w:val="20"/>
                <w:szCs w:val="20"/>
              </w:rPr>
            </w:pPr>
          </w:p>
        </w:tc>
        <w:tc>
          <w:tcPr>
            <w:tcW w:w="850" w:type="dxa"/>
            <w:vAlign w:val="bottom"/>
          </w:tcPr>
          <w:p w14:paraId="747864FB" w14:textId="77777777" w:rsidR="005157FC" w:rsidRPr="005157FC" w:rsidRDefault="005157FC" w:rsidP="005157FC">
            <w:pPr>
              <w:jc w:val="center"/>
              <w:rPr>
                <w:sz w:val="20"/>
                <w:szCs w:val="20"/>
              </w:rPr>
            </w:pPr>
          </w:p>
        </w:tc>
        <w:tc>
          <w:tcPr>
            <w:tcW w:w="975" w:type="dxa"/>
            <w:vAlign w:val="bottom"/>
          </w:tcPr>
          <w:p w14:paraId="49C6F249" w14:textId="77777777" w:rsidR="005157FC" w:rsidRPr="005157FC" w:rsidRDefault="005157FC" w:rsidP="005157FC">
            <w:pPr>
              <w:jc w:val="right"/>
              <w:rPr>
                <w:sz w:val="20"/>
                <w:szCs w:val="20"/>
              </w:rPr>
            </w:pPr>
          </w:p>
        </w:tc>
        <w:tc>
          <w:tcPr>
            <w:tcW w:w="1032" w:type="dxa"/>
            <w:vAlign w:val="bottom"/>
          </w:tcPr>
          <w:p w14:paraId="7049B328" w14:textId="77777777" w:rsidR="005157FC" w:rsidRPr="005157FC" w:rsidRDefault="005157FC" w:rsidP="005157FC">
            <w:pPr>
              <w:jc w:val="center"/>
              <w:rPr>
                <w:sz w:val="20"/>
                <w:szCs w:val="20"/>
              </w:rPr>
            </w:pPr>
          </w:p>
        </w:tc>
        <w:tc>
          <w:tcPr>
            <w:tcW w:w="908" w:type="dxa"/>
            <w:vAlign w:val="bottom"/>
          </w:tcPr>
          <w:p w14:paraId="566B0129" w14:textId="77777777" w:rsidR="005157FC" w:rsidRPr="005157FC" w:rsidRDefault="005157FC" w:rsidP="005157FC">
            <w:pPr>
              <w:jc w:val="right"/>
              <w:rPr>
                <w:sz w:val="20"/>
                <w:szCs w:val="20"/>
              </w:rPr>
            </w:pPr>
          </w:p>
        </w:tc>
        <w:tc>
          <w:tcPr>
            <w:tcW w:w="986" w:type="dxa"/>
            <w:vAlign w:val="bottom"/>
          </w:tcPr>
          <w:p w14:paraId="62187701" w14:textId="77777777" w:rsidR="005157FC" w:rsidRPr="005157FC" w:rsidRDefault="005157FC" w:rsidP="005157FC">
            <w:pPr>
              <w:jc w:val="center"/>
              <w:rPr>
                <w:sz w:val="20"/>
                <w:szCs w:val="20"/>
              </w:rPr>
            </w:pPr>
          </w:p>
        </w:tc>
        <w:tc>
          <w:tcPr>
            <w:tcW w:w="904" w:type="dxa"/>
            <w:vAlign w:val="bottom"/>
          </w:tcPr>
          <w:p w14:paraId="5F9A5DE4" w14:textId="1545F4BC" w:rsidR="005157FC" w:rsidRPr="005157FC" w:rsidRDefault="005157FC" w:rsidP="005157FC">
            <w:pPr>
              <w:ind w:left="0"/>
              <w:jc w:val="right"/>
              <w:rPr>
                <w:sz w:val="20"/>
                <w:szCs w:val="20"/>
              </w:rPr>
            </w:pPr>
          </w:p>
        </w:tc>
        <w:tc>
          <w:tcPr>
            <w:tcW w:w="990" w:type="dxa"/>
            <w:vAlign w:val="bottom"/>
          </w:tcPr>
          <w:p w14:paraId="4010EFAF" w14:textId="4242BC7E" w:rsidR="005157FC" w:rsidRPr="005157FC" w:rsidRDefault="005157FC" w:rsidP="005157FC">
            <w:pPr>
              <w:ind w:left="0"/>
              <w:jc w:val="right"/>
              <w:rPr>
                <w:sz w:val="20"/>
                <w:szCs w:val="20"/>
              </w:rPr>
            </w:pPr>
          </w:p>
        </w:tc>
      </w:tr>
      <w:tr w:rsidR="005157FC" w:rsidRPr="005157FC" w14:paraId="4EBFE483" w14:textId="77777777" w:rsidTr="005157FC">
        <w:tc>
          <w:tcPr>
            <w:tcW w:w="1705" w:type="dxa"/>
            <w:vAlign w:val="bottom"/>
          </w:tcPr>
          <w:p w14:paraId="6552117F" w14:textId="77777777" w:rsidR="005157FC" w:rsidRPr="005157FC" w:rsidRDefault="005157FC" w:rsidP="005157FC">
            <w:pPr>
              <w:ind w:left="0"/>
              <w:rPr>
                <w:sz w:val="20"/>
                <w:szCs w:val="20"/>
              </w:rPr>
            </w:pPr>
            <w:r w:rsidRPr="005157FC">
              <w:rPr>
                <w:sz w:val="20"/>
                <w:szCs w:val="20"/>
              </w:rPr>
              <w:t>1 - NWGF 90%</w:t>
            </w:r>
          </w:p>
        </w:tc>
        <w:tc>
          <w:tcPr>
            <w:tcW w:w="990" w:type="dxa"/>
            <w:vAlign w:val="bottom"/>
          </w:tcPr>
          <w:p w14:paraId="18761400" w14:textId="77777777" w:rsidR="005157FC" w:rsidRPr="005157FC" w:rsidRDefault="005157FC" w:rsidP="005157FC">
            <w:pPr>
              <w:jc w:val="right"/>
              <w:rPr>
                <w:sz w:val="20"/>
                <w:szCs w:val="20"/>
              </w:rPr>
            </w:pPr>
          </w:p>
        </w:tc>
        <w:tc>
          <w:tcPr>
            <w:tcW w:w="850" w:type="dxa"/>
            <w:vAlign w:val="bottom"/>
          </w:tcPr>
          <w:p w14:paraId="04E9F5D5" w14:textId="77777777" w:rsidR="005157FC" w:rsidRPr="005157FC" w:rsidRDefault="005157FC" w:rsidP="005157FC">
            <w:pPr>
              <w:ind w:firstLineChars="100" w:firstLine="200"/>
              <w:jc w:val="right"/>
              <w:rPr>
                <w:sz w:val="20"/>
                <w:szCs w:val="20"/>
              </w:rPr>
            </w:pPr>
          </w:p>
        </w:tc>
        <w:tc>
          <w:tcPr>
            <w:tcW w:w="975" w:type="dxa"/>
            <w:vAlign w:val="bottom"/>
          </w:tcPr>
          <w:p w14:paraId="1E8897D7" w14:textId="77777777" w:rsidR="005157FC" w:rsidRPr="005157FC" w:rsidRDefault="005157FC" w:rsidP="005157FC">
            <w:pPr>
              <w:jc w:val="right"/>
              <w:rPr>
                <w:sz w:val="20"/>
                <w:szCs w:val="20"/>
              </w:rPr>
            </w:pPr>
          </w:p>
        </w:tc>
        <w:tc>
          <w:tcPr>
            <w:tcW w:w="1032" w:type="dxa"/>
            <w:vAlign w:val="bottom"/>
          </w:tcPr>
          <w:p w14:paraId="7935D411" w14:textId="77777777" w:rsidR="005157FC" w:rsidRPr="005157FC" w:rsidRDefault="005157FC" w:rsidP="005157FC">
            <w:pPr>
              <w:ind w:firstLineChars="100" w:firstLine="200"/>
              <w:jc w:val="right"/>
              <w:rPr>
                <w:sz w:val="20"/>
                <w:szCs w:val="20"/>
              </w:rPr>
            </w:pPr>
          </w:p>
        </w:tc>
        <w:tc>
          <w:tcPr>
            <w:tcW w:w="908" w:type="dxa"/>
            <w:vAlign w:val="bottom"/>
          </w:tcPr>
          <w:p w14:paraId="21157C86" w14:textId="77777777" w:rsidR="005157FC" w:rsidRPr="005157FC" w:rsidRDefault="005157FC" w:rsidP="005157FC">
            <w:pPr>
              <w:jc w:val="right"/>
              <w:rPr>
                <w:sz w:val="20"/>
                <w:szCs w:val="20"/>
              </w:rPr>
            </w:pPr>
          </w:p>
        </w:tc>
        <w:tc>
          <w:tcPr>
            <w:tcW w:w="986" w:type="dxa"/>
            <w:vAlign w:val="bottom"/>
          </w:tcPr>
          <w:p w14:paraId="5056ED55" w14:textId="77777777" w:rsidR="005157FC" w:rsidRPr="005157FC" w:rsidRDefault="005157FC" w:rsidP="005157FC">
            <w:pPr>
              <w:ind w:firstLineChars="100" w:firstLine="200"/>
              <w:jc w:val="right"/>
              <w:rPr>
                <w:sz w:val="20"/>
                <w:szCs w:val="20"/>
              </w:rPr>
            </w:pPr>
          </w:p>
        </w:tc>
        <w:tc>
          <w:tcPr>
            <w:tcW w:w="904" w:type="dxa"/>
            <w:vAlign w:val="bottom"/>
          </w:tcPr>
          <w:p w14:paraId="31DBA8C0" w14:textId="6F4233B2" w:rsidR="005157FC" w:rsidRPr="005157FC" w:rsidRDefault="005157FC" w:rsidP="005157FC">
            <w:pPr>
              <w:ind w:left="0"/>
              <w:jc w:val="right"/>
              <w:rPr>
                <w:sz w:val="20"/>
                <w:szCs w:val="20"/>
              </w:rPr>
            </w:pPr>
          </w:p>
        </w:tc>
        <w:tc>
          <w:tcPr>
            <w:tcW w:w="990" w:type="dxa"/>
            <w:vAlign w:val="bottom"/>
          </w:tcPr>
          <w:p w14:paraId="52E5A38B" w14:textId="37CA844C" w:rsidR="005157FC" w:rsidRPr="005157FC" w:rsidRDefault="005157FC" w:rsidP="005157FC">
            <w:pPr>
              <w:ind w:left="0"/>
              <w:jc w:val="right"/>
              <w:rPr>
                <w:sz w:val="20"/>
                <w:szCs w:val="20"/>
              </w:rPr>
            </w:pPr>
          </w:p>
        </w:tc>
      </w:tr>
      <w:tr w:rsidR="005157FC" w:rsidRPr="005157FC" w14:paraId="45E42A1E" w14:textId="77777777" w:rsidTr="005157FC">
        <w:tc>
          <w:tcPr>
            <w:tcW w:w="1705" w:type="dxa"/>
            <w:vAlign w:val="bottom"/>
          </w:tcPr>
          <w:p w14:paraId="32AE4756" w14:textId="77777777" w:rsidR="005157FC" w:rsidRPr="005157FC" w:rsidRDefault="005157FC" w:rsidP="005157FC">
            <w:pPr>
              <w:ind w:left="0"/>
              <w:rPr>
                <w:sz w:val="20"/>
                <w:szCs w:val="20"/>
              </w:rPr>
            </w:pPr>
            <w:r w:rsidRPr="005157FC">
              <w:rPr>
                <w:sz w:val="20"/>
                <w:szCs w:val="20"/>
              </w:rPr>
              <w:t>2 - NWGF 92%</w:t>
            </w:r>
          </w:p>
        </w:tc>
        <w:tc>
          <w:tcPr>
            <w:tcW w:w="990" w:type="dxa"/>
            <w:vAlign w:val="bottom"/>
          </w:tcPr>
          <w:p w14:paraId="62F38E99" w14:textId="77777777" w:rsidR="005157FC" w:rsidRPr="005157FC" w:rsidRDefault="005157FC" w:rsidP="005157FC">
            <w:pPr>
              <w:jc w:val="right"/>
              <w:rPr>
                <w:sz w:val="20"/>
                <w:szCs w:val="20"/>
              </w:rPr>
            </w:pPr>
          </w:p>
        </w:tc>
        <w:tc>
          <w:tcPr>
            <w:tcW w:w="850" w:type="dxa"/>
            <w:vAlign w:val="bottom"/>
          </w:tcPr>
          <w:p w14:paraId="34B2740D" w14:textId="77777777" w:rsidR="005157FC" w:rsidRPr="005157FC" w:rsidRDefault="005157FC" w:rsidP="005157FC">
            <w:pPr>
              <w:ind w:firstLineChars="100" w:firstLine="200"/>
              <w:jc w:val="right"/>
              <w:rPr>
                <w:sz w:val="20"/>
                <w:szCs w:val="20"/>
              </w:rPr>
            </w:pPr>
          </w:p>
        </w:tc>
        <w:tc>
          <w:tcPr>
            <w:tcW w:w="975" w:type="dxa"/>
            <w:vAlign w:val="bottom"/>
          </w:tcPr>
          <w:p w14:paraId="3D1AE2DA" w14:textId="77777777" w:rsidR="005157FC" w:rsidRPr="005157FC" w:rsidRDefault="005157FC" w:rsidP="005157FC">
            <w:pPr>
              <w:jc w:val="right"/>
              <w:rPr>
                <w:sz w:val="20"/>
                <w:szCs w:val="20"/>
              </w:rPr>
            </w:pPr>
          </w:p>
        </w:tc>
        <w:tc>
          <w:tcPr>
            <w:tcW w:w="1032" w:type="dxa"/>
            <w:vAlign w:val="bottom"/>
          </w:tcPr>
          <w:p w14:paraId="4B7D8DA7" w14:textId="77777777" w:rsidR="005157FC" w:rsidRPr="005157FC" w:rsidRDefault="005157FC" w:rsidP="005157FC">
            <w:pPr>
              <w:ind w:firstLineChars="100" w:firstLine="200"/>
              <w:jc w:val="right"/>
              <w:rPr>
                <w:sz w:val="20"/>
                <w:szCs w:val="20"/>
              </w:rPr>
            </w:pPr>
          </w:p>
        </w:tc>
        <w:tc>
          <w:tcPr>
            <w:tcW w:w="908" w:type="dxa"/>
            <w:vAlign w:val="bottom"/>
          </w:tcPr>
          <w:p w14:paraId="2AB00BF2" w14:textId="77777777" w:rsidR="005157FC" w:rsidRPr="005157FC" w:rsidRDefault="005157FC" w:rsidP="005157FC">
            <w:pPr>
              <w:jc w:val="right"/>
              <w:rPr>
                <w:sz w:val="20"/>
                <w:szCs w:val="20"/>
              </w:rPr>
            </w:pPr>
          </w:p>
        </w:tc>
        <w:tc>
          <w:tcPr>
            <w:tcW w:w="986" w:type="dxa"/>
            <w:vAlign w:val="bottom"/>
          </w:tcPr>
          <w:p w14:paraId="3EC7194F" w14:textId="77777777" w:rsidR="005157FC" w:rsidRPr="005157FC" w:rsidRDefault="005157FC" w:rsidP="005157FC">
            <w:pPr>
              <w:ind w:firstLineChars="100" w:firstLine="200"/>
              <w:jc w:val="right"/>
              <w:rPr>
                <w:sz w:val="20"/>
                <w:szCs w:val="20"/>
              </w:rPr>
            </w:pPr>
          </w:p>
        </w:tc>
        <w:tc>
          <w:tcPr>
            <w:tcW w:w="904" w:type="dxa"/>
            <w:vAlign w:val="bottom"/>
          </w:tcPr>
          <w:p w14:paraId="7722AFBB" w14:textId="1F5CAFE4" w:rsidR="005157FC" w:rsidRPr="005157FC" w:rsidRDefault="005157FC" w:rsidP="005157FC">
            <w:pPr>
              <w:ind w:left="0"/>
              <w:jc w:val="right"/>
              <w:rPr>
                <w:sz w:val="20"/>
                <w:szCs w:val="20"/>
              </w:rPr>
            </w:pPr>
          </w:p>
        </w:tc>
        <w:tc>
          <w:tcPr>
            <w:tcW w:w="990" w:type="dxa"/>
            <w:vAlign w:val="bottom"/>
          </w:tcPr>
          <w:p w14:paraId="08BC9671" w14:textId="59C61691" w:rsidR="005157FC" w:rsidRPr="005157FC" w:rsidRDefault="005157FC" w:rsidP="005157FC">
            <w:pPr>
              <w:ind w:left="0"/>
              <w:jc w:val="right"/>
              <w:rPr>
                <w:sz w:val="20"/>
                <w:szCs w:val="20"/>
              </w:rPr>
            </w:pPr>
          </w:p>
        </w:tc>
      </w:tr>
      <w:tr w:rsidR="005157FC" w:rsidRPr="005157FC" w14:paraId="7CE947FE" w14:textId="77777777" w:rsidTr="005157FC">
        <w:tc>
          <w:tcPr>
            <w:tcW w:w="1705" w:type="dxa"/>
            <w:vAlign w:val="bottom"/>
          </w:tcPr>
          <w:p w14:paraId="5D309C29" w14:textId="77777777" w:rsidR="005157FC" w:rsidRPr="005157FC" w:rsidRDefault="005157FC" w:rsidP="005157FC">
            <w:pPr>
              <w:ind w:left="0"/>
              <w:rPr>
                <w:sz w:val="20"/>
                <w:szCs w:val="20"/>
              </w:rPr>
            </w:pPr>
            <w:r w:rsidRPr="005157FC">
              <w:rPr>
                <w:sz w:val="20"/>
                <w:szCs w:val="20"/>
              </w:rPr>
              <w:t>3 - NWGF 95%</w:t>
            </w:r>
          </w:p>
        </w:tc>
        <w:tc>
          <w:tcPr>
            <w:tcW w:w="990" w:type="dxa"/>
            <w:vAlign w:val="bottom"/>
          </w:tcPr>
          <w:p w14:paraId="2CE3B3E0" w14:textId="77777777" w:rsidR="005157FC" w:rsidRPr="005157FC" w:rsidRDefault="005157FC" w:rsidP="005157FC">
            <w:pPr>
              <w:jc w:val="right"/>
              <w:rPr>
                <w:sz w:val="20"/>
                <w:szCs w:val="20"/>
              </w:rPr>
            </w:pPr>
          </w:p>
        </w:tc>
        <w:tc>
          <w:tcPr>
            <w:tcW w:w="850" w:type="dxa"/>
            <w:vAlign w:val="bottom"/>
          </w:tcPr>
          <w:p w14:paraId="36787031" w14:textId="77777777" w:rsidR="005157FC" w:rsidRPr="005157FC" w:rsidRDefault="005157FC" w:rsidP="005157FC">
            <w:pPr>
              <w:ind w:firstLineChars="100" w:firstLine="200"/>
              <w:jc w:val="right"/>
              <w:rPr>
                <w:sz w:val="20"/>
                <w:szCs w:val="20"/>
              </w:rPr>
            </w:pPr>
          </w:p>
        </w:tc>
        <w:tc>
          <w:tcPr>
            <w:tcW w:w="975" w:type="dxa"/>
            <w:vAlign w:val="bottom"/>
          </w:tcPr>
          <w:p w14:paraId="4574DD25" w14:textId="77777777" w:rsidR="005157FC" w:rsidRPr="005157FC" w:rsidRDefault="005157FC" w:rsidP="005157FC">
            <w:pPr>
              <w:jc w:val="right"/>
              <w:rPr>
                <w:sz w:val="20"/>
                <w:szCs w:val="20"/>
              </w:rPr>
            </w:pPr>
          </w:p>
        </w:tc>
        <w:tc>
          <w:tcPr>
            <w:tcW w:w="1032" w:type="dxa"/>
            <w:vAlign w:val="bottom"/>
          </w:tcPr>
          <w:p w14:paraId="2F54AA03" w14:textId="77777777" w:rsidR="005157FC" w:rsidRPr="005157FC" w:rsidRDefault="005157FC" w:rsidP="005157FC">
            <w:pPr>
              <w:ind w:firstLineChars="100" w:firstLine="200"/>
              <w:jc w:val="right"/>
              <w:rPr>
                <w:sz w:val="20"/>
                <w:szCs w:val="20"/>
              </w:rPr>
            </w:pPr>
          </w:p>
        </w:tc>
        <w:tc>
          <w:tcPr>
            <w:tcW w:w="908" w:type="dxa"/>
            <w:vAlign w:val="bottom"/>
          </w:tcPr>
          <w:p w14:paraId="5E0AF933" w14:textId="77777777" w:rsidR="005157FC" w:rsidRPr="005157FC" w:rsidRDefault="005157FC" w:rsidP="005157FC">
            <w:pPr>
              <w:jc w:val="right"/>
              <w:rPr>
                <w:sz w:val="20"/>
                <w:szCs w:val="20"/>
              </w:rPr>
            </w:pPr>
          </w:p>
        </w:tc>
        <w:tc>
          <w:tcPr>
            <w:tcW w:w="986" w:type="dxa"/>
            <w:vAlign w:val="bottom"/>
          </w:tcPr>
          <w:p w14:paraId="6606F7A3" w14:textId="77777777" w:rsidR="005157FC" w:rsidRPr="005157FC" w:rsidRDefault="005157FC" w:rsidP="005157FC">
            <w:pPr>
              <w:ind w:firstLineChars="100" w:firstLine="200"/>
              <w:jc w:val="right"/>
              <w:rPr>
                <w:sz w:val="20"/>
                <w:szCs w:val="20"/>
              </w:rPr>
            </w:pPr>
          </w:p>
        </w:tc>
        <w:tc>
          <w:tcPr>
            <w:tcW w:w="904" w:type="dxa"/>
            <w:vAlign w:val="bottom"/>
          </w:tcPr>
          <w:p w14:paraId="34570773" w14:textId="0DFD2FA8" w:rsidR="005157FC" w:rsidRPr="005157FC" w:rsidRDefault="005157FC" w:rsidP="005157FC">
            <w:pPr>
              <w:ind w:left="0"/>
              <w:jc w:val="right"/>
              <w:rPr>
                <w:sz w:val="20"/>
                <w:szCs w:val="20"/>
              </w:rPr>
            </w:pPr>
          </w:p>
        </w:tc>
        <w:tc>
          <w:tcPr>
            <w:tcW w:w="990" w:type="dxa"/>
            <w:vAlign w:val="bottom"/>
          </w:tcPr>
          <w:p w14:paraId="09C59B73" w14:textId="41D470EE" w:rsidR="005157FC" w:rsidRPr="005157FC" w:rsidRDefault="005157FC" w:rsidP="005157FC">
            <w:pPr>
              <w:ind w:left="0"/>
              <w:jc w:val="right"/>
              <w:rPr>
                <w:sz w:val="20"/>
                <w:szCs w:val="20"/>
              </w:rPr>
            </w:pPr>
          </w:p>
        </w:tc>
      </w:tr>
      <w:tr w:rsidR="005157FC" w:rsidRPr="005157FC" w14:paraId="5410B94B" w14:textId="77777777" w:rsidTr="005157FC">
        <w:tc>
          <w:tcPr>
            <w:tcW w:w="1705" w:type="dxa"/>
            <w:vAlign w:val="bottom"/>
          </w:tcPr>
          <w:p w14:paraId="1C7BC47A" w14:textId="77777777" w:rsidR="005157FC" w:rsidRPr="005157FC" w:rsidRDefault="005157FC" w:rsidP="005157FC">
            <w:pPr>
              <w:ind w:left="0"/>
              <w:rPr>
                <w:sz w:val="20"/>
                <w:szCs w:val="20"/>
              </w:rPr>
            </w:pPr>
            <w:r w:rsidRPr="005157FC">
              <w:rPr>
                <w:sz w:val="20"/>
                <w:szCs w:val="20"/>
              </w:rPr>
              <w:t>4 - NWGF 98%</w:t>
            </w:r>
          </w:p>
        </w:tc>
        <w:tc>
          <w:tcPr>
            <w:tcW w:w="990" w:type="dxa"/>
            <w:vAlign w:val="bottom"/>
          </w:tcPr>
          <w:p w14:paraId="532D30B2" w14:textId="77777777" w:rsidR="005157FC" w:rsidRPr="005157FC" w:rsidRDefault="005157FC" w:rsidP="005157FC">
            <w:pPr>
              <w:jc w:val="right"/>
              <w:rPr>
                <w:sz w:val="20"/>
                <w:szCs w:val="20"/>
              </w:rPr>
            </w:pPr>
          </w:p>
        </w:tc>
        <w:tc>
          <w:tcPr>
            <w:tcW w:w="850" w:type="dxa"/>
            <w:vAlign w:val="bottom"/>
          </w:tcPr>
          <w:p w14:paraId="07B1F53C" w14:textId="77777777" w:rsidR="005157FC" w:rsidRPr="005157FC" w:rsidRDefault="005157FC" w:rsidP="005157FC">
            <w:pPr>
              <w:ind w:firstLineChars="100" w:firstLine="200"/>
              <w:jc w:val="right"/>
              <w:rPr>
                <w:sz w:val="20"/>
                <w:szCs w:val="20"/>
              </w:rPr>
            </w:pPr>
          </w:p>
        </w:tc>
        <w:tc>
          <w:tcPr>
            <w:tcW w:w="975" w:type="dxa"/>
            <w:vAlign w:val="bottom"/>
          </w:tcPr>
          <w:p w14:paraId="5119A6BC" w14:textId="77777777" w:rsidR="005157FC" w:rsidRPr="005157FC" w:rsidRDefault="005157FC" w:rsidP="005157FC">
            <w:pPr>
              <w:jc w:val="right"/>
              <w:rPr>
                <w:sz w:val="20"/>
                <w:szCs w:val="20"/>
              </w:rPr>
            </w:pPr>
          </w:p>
        </w:tc>
        <w:tc>
          <w:tcPr>
            <w:tcW w:w="1032" w:type="dxa"/>
            <w:vAlign w:val="bottom"/>
          </w:tcPr>
          <w:p w14:paraId="601E4D04" w14:textId="77777777" w:rsidR="005157FC" w:rsidRPr="005157FC" w:rsidRDefault="005157FC" w:rsidP="005157FC">
            <w:pPr>
              <w:ind w:firstLineChars="100" w:firstLine="200"/>
              <w:jc w:val="right"/>
              <w:rPr>
                <w:sz w:val="20"/>
                <w:szCs w:val="20"/>
              </w:rPr>
            </w:pPr>
          </w:p>
        </w:tc>
        <w:tc>
          <w:tcPr>
            <w:tcW w:w="908" w:type="dxa"/>
            <w:vAlign w:val="bottom"/>
          </w:tcPr>
          <w:p w14:paraId="057D80AD" w14:textId="77777777" w:rsidR="005157FC" w:rsidRPr="005157FC" w:rsidRDefault="005157FC" w:rsidP="005157FC">
            <w:pPr>
              <w:jc w:val="right"/>
              <w:rPr>
                <w:sz w:val="20"/>
                <w:szCs w:val="20"/>
              </w:rPr>
            </w:pPr>
          </w:p>
        </w:tc>
        <w:tc>
          <w:tcPr>
            <w:tcW w:w="986" w:type="dxa"/>
            <w:vAlign w:val="bottom"/>
          </w:tcPr>
          <w:p w14:paraId="3ABE27BE" w14:textId="77777777" w:rsidR="005157FC" w:rsidRPr="005157FC" w:rsidRDefault="005157FC" w:rsidP="005157FC">
            <w:pPr>
              <w:ind w:firstLineChars="100" w:firstLine="200"/>
              <w:jc w:val="right"/>
              <w:rPr>
                <w:sz w:val="20"/>
                <w:szCs w:val="20"/>
              </w:rPr>
            </w:pPr>
          </w:p>
        </w:tc>
        <w:tc>
          <w:tcPr>
            <w:tcW w:w="904" w:type="dxa"/>
            <w:vAlign w:val="bottom"/>
          </w:tcPr>
          <w:p w14:paraId="2C077506" w14:textId="12A4D11D" w:rsidR="005157FC" w:rsidRPr="005157FC" w:rsidRDefault="005157FC" w:rsidP="005157FC">
            <w:pPr>
              <w:ind w:left="0"/>
              <w:jc w:val="right"/>
              <w:rPr>
                <w:sz w:val="20"/>
                <w:szCs w:val="20"/>
              </w:rPr>
            </w:pPr>
          </w:p>
        </w:tc>
        <w:tc>
          <w:tcPr>
            <w:tcW w:w="990" w:type="dxa"/>
            <w:vAlign w:val="bottom"/>
          </w:tcPr>
          <w:p w14:paraId="35212838" w14:textId="451A07AA" w:rsidR="005157FC" w:rsidRPr="005157FC" w:rsidRDefault="005157FC" w:rsidP="005157FC">
            <w:pPr>
              <w:ind w:left="0"/>
              <w:jc w:val="right"/>
              <w:rPr>
                <w:sz w:val="20"/>
                <w:szCs w:val="20"/>
              </w:rPr>
            </w:pPr>
          </w:p>
        </w:tc>
      </w:tr>
    </w:tbl>
    <w:p w14:paraId="5FEDF459" w14:textId="77777777" w:rsidR="00524215" w:rsidRPr="00524215" w:rsidRDefault="00524215"/>
    <w:p w14:paraId="66DDBEF3" w14:textId="77777777" w:rsidR="00EE677F" w:rsidRDefault="00D135FE">
      <w:pPr>
        <w:rPr>
          <w:b/>
        </w:rPr>
      </w:pPr>
      <w:r>
        <w:rPr>
          <w:b/>
        </w:rPr>
        <w:t>Without Incremental Markup</w:t>
      </w:r>
    </w:p>
    <w:tbl>
      <w:tblPr>
        <w:tblStyle w:val="TableGrid"/>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EE677F" w14:paraId="2355ADC9" w14:textId="77777777">
        <w:tc>
          <w:tcPr>
            <w:tcW w:w="1705" w:type="dxa"/>
            <w:vMerge w:val="restart"/>
          </w:tcPr>
          <w:p w14:paraId="63F3708D" w14:textId="77777777" w:rsidR="00EE677F" w:rsidRDefault="00D135FE">
            <w:pPr>
              <w:ind w:left="0"/>
              <w:rPr>
                <w:sz w:val="20"/>
                <w:szCs w:val="20"/>
              </w:rPr>
            </w:pPr>
            <w:r>
              <w:rPr>
                <w:sz w:val="20"/>
                <w:szCs w:val="20"/>
              </w:rPr>
              <w:t>NWGF Efficiency Level</w:t>
            </w:r>
          </w:p>
        </w:tc>
        <w:tc>
          <w:tcPr>
            <w:tcW w:w="1840" w:type="dxa"/>
            <w:gridSpan w:val="2"/>
          </w:tcPr>
          <w:p w14:paraId="0D31D03B" w14:textId="77777777" w:rsidR="00EE677F" w:rsidRDefault="00D135FE">
            <w:pPr>
              <w:ind w:left="0"/>
              <w:jc w:val="center"/>
              <w:rPr>
                <w:sz w:val="20"/>
                <w:szCs w:val="20"/>
              </w:rPr>
            </w:pPr>
            <w:r>
              <w:rPr>
                <w:sz w:val="20"/>
                <w:szCs w:val="20"/>
              </w:rPr>
              <w:t>U.S.</w:t>
            </w:r>
          </w:p>
        </w:tc>
        <w:tc>
          <w:tcPr>
            <w:tcW w:w="2007" w:type="dxa"/>
            <w:gridSpan w:val="2"/>
          </w:tcPr>
          <w:p w14:paraId="4B0E1657" w14:textId="77777777" w:rsidR="00EE677F" w:rsidRDefault="00D135FE">
            <w:pPr>
              <w:ind w:left="0"/>
              <w:jc w:val="center"/>
              <w:rPr>
                <w:sz w:val="20"/>
                <w:szCs w:val="20"/>
              </w:rPr>
            </w:pPr>
            <w:r>
              <w:rPr>
                <w:sz w:val="20"/>
                <w:szCs w:val="20"/>
              </w:rPr>
              <w:t>Northern U.S.</w:t>
            </w:r>
          </w:p>
        </w:tc>
        <w:tc>
          <w:tcPr>
            <w:tcW w:w="0" w:type="auto"/>
            <w:gridSpan w:val="2"/>
          </w:tcPr>
          <w:p w14:paraId="767BD634" w14:textId="77777777" w:rsidR="00EE677F" w:rsidRDefault="00D135FE">
            <w:pPr>
              <w:ind w:left="0"/>
              <w:jc w:val="center"/>
              <w:rPr>
                <w:sz w:val="20"/>
                <w:szCs w:val="20"/>
              </w:rPr>
            </w:pPr>
            <w:r>
              <w:rPr>
                <w:sz w:val="20"/>
                <w:szCs w:val="20"/>
              </w:rPr>
              <w:t>Southern U.S.</w:t>
            </w:r>
          </w:p>
        </w:tc>
        <w:tc>
          <w:tcPr>
            <w:tcW w:w="0" w:type="auto"/>
            <w:gridSpan w:val="2"/>
          </w:tcPr>
          <w:p w14:paraId="07D5777D" w14:textId="5BD34E0B" w:rsidR="00EE677F" w:rsidRDefault="00D135FE">
            <w:pPr>
              <w:ind w:left="0"/>
              <w:jc w:val="center"/>
              <w:rPr>
                <w:sz w:val="20"/>
                <w:szCs w:val="20"/>
              </w:rPr>
            </w:pPr>
            <w:r>
              <w:rPr>
                <w:sz w:val="20"/>
                <w:szCs w:val="20"/>
              </w:rPr>
              <w:t>California</w:t>
            </w:r>
            <w:r w:rsidR="00524215">
              <w:rPr>
                <w:sz w:val="20"/>
                <w:szCs w:val="20"/>
              </w:rPr>
              <w:t xml:space="preserve"> Only</w:t>
            </w:r>
          </w:p>
        </w:tc>
      </w:tr>
      <w:tr w:rsidR="00EE677F" w14:paraId="453E8669" w14:textId="77777777">
        <w:tc>
          <w:tcPr>
            <w:tcW w:w="1705" w:type="dxa"/>
            <w:vMerge/>
          </w:tcPr>
          <w:p w14:paraId="28F8B46A" w14:textId="77777777" w:rsidR="00EE677F" w:rsidRDefault="00EE677F">
            <w:pPr>
              <w:ind w:left="0"/>
              <w:rPr>
                <w:sz w:val="20"/>
                <w:szCs w:val="20"/>
              </w:rPr>
            </w:pPr>
          </w:p>
        </w:tc>
        <w:tc>
          <w:tcPr>
            <w:tcW w:w="990" w:type="dxa"/>
          </w:tcPr>
          <w:p w14:paraId="682E096B" w14:textId="77777777" w:rsidR="00EE677F" w:rsidRDefault="00D135FE">
            <w:pPr>
              <w:ind w:left="0"/>
              <w:jc w:val="center"/>
              <w:rPr>
                <w:sz w:val="20"/>
                <w:szCs w:val="20"/>
              </w:rPr>
            </w:pPr>
            <w:r>
              <w:rPr>
                <w:sz w:val="20"/>
                <w:szCs w:val="20"/>
              </w:rPr>
              <w:t>LCC</w:t>
            </w:r>
          </w:p>
        </w:tc>
        <w:tc>
          <w:tcPr>
            <w:tcW w:w="850" w:type="dxa"/>
          </w:tcPr>
          <w:p w14:paraId="492C2F94" w14:textId="77777777" w:rsidR="00EE677F" w:rsidRDefault="00D135FE">
            <w:pPr>
              <w:ind w:left="0"/>
              <w:jc w:val="center"/>
              <w:rPr>
                <w:sz w:val="20"/>
                <w:szCs w:val="20"/>
              </w:rPr>
            </w:pPr>
            <w:r>
              <w:rPr>
                <w:sz w:val="20"/>
                <w:szCs w:val="20"/>
              </w:rPr>
              <w:t>LCC Savings</w:t>
            </w:r>
          </w:p>
        </w:tc>
        <w:tc>
          <w:tcPr>
            <w:tcW w:w="975" w:type="dxa"/>
          </w:tcPr>
          <w:p w14:paraId="3F2A1536" w14:textId="77777777" w:rsidR="00EE677F" w:rsidRDefault="00D135FE">
            <w:pPr>
              <w:ind w:left="0"/>
              <w:jc w:val="center"/>
              <w:rPr>
                <w:sz w:val="20"/>
                <w:szCs w:val="20"/>
              </w:rPr>
            </w:pPr>
            <w:r>
              <w:rPr>
                <w:sz w:val="20"/>
                <w:szCs w:val="20"/>
              </w:rPr>
              <w:t>LCC</w:t>
            </w:r>
          </w:p>
        </w:tc>
        <w:tc>
          <w:tcPr>
            <w:tcW w:w="1032" w:type="dxa"/>
          </w:tcPr>
          <w:p w14:paraId="4C7C874B" w14:textId="77777777" w:rsidR="00EE677F" w:rsidRDefault="00D135FE">
            <w:pPr>
              <w:ind w:left="0"/>
              <w:jc w:val="center"/>
              <w:rPr>
                <w:sz w:val="20"/>
                <w:szCs w:val="20"/>
              </w:rPr>
            </w:pPr>
            <w:r>
              <w:rPr>
                <w:sz w:val="20"/>
                <w:szCs w:val="20"/>
              </w:rPr>
              <w:t>LCC Savings</w:t>
            </w:r>
          </w:p>
        </w:tc>
        <w:tc>
          <w:tcPr>
            <w:tcW w:w="908" w:type="dxa"/>
          </w:tcPr>
          <w:p w14:paraId="605F1772" w14:textId="77777777" w:rsidR="00EE677F" w:rsidRDefault="00D135FE">
            <w:pPr>
              <w:ind w:left="0"/>
              <w:jc w:val="center"/>
              <w:rPr>
                <w:sz w:val="20"/>
                <w:szCs w:val="20"/>
              </w:rPr>
            </w:pPr>
            <w:r>
              <w:rPr>
                <w:sz w:val="20"/>
                <w:szCs w:val="20"/>
              </w:rPr>
              <w:t>LCC</w:t>
            </w:r>
          </w:p>
        </w:tc>
        <w:tc>
          <w:tcPr>
            <w:tcW w:w="986" w:type="dxa"/>
          </w:tcPr>
          <w:p w14:paraId="3B134A07" w14:textId="77777777" w:rsidR="00EE677F" w:rsidRDefault="00D135FE">
            <w:pPr>
              <w:ind w:left="0"/>
              <w:jc w:val="center"/>
              <w:rPr>
                <w:sz w:val="20"/>
                <w:szCs w:val="20"/>
              </w:rPr>
            </w:pPr>
            <w:r>
              <w:rPr>
                <w:sz w:val="20"/>
                <w:szCs w:val="20"/>
              </w:rPr>
              <w:t>LCC Savings</w:t>
            </w:r>
          </w:p>
        </w:tc>
        <w:tc>
          <w:tcPr>
            <w:tcW w:w="904" w:type="dxa"/>
          </w:tcPr>
          <w:p w14:paraId="6E0BD1AC" w14:textId="77777777" w:rsidR="00EE677F" w:rsidRDefault="00D135FE">
            <w:pPr>
              <w:ind w:left="0"/>
              <w:jc w:val="center"/>
              <w:rPr>
                <w:sz w:val="20"/>
                <w:szCs w:val="20"/>
              </w:rPr>
            </w:pPr>
            <w:r>
              <w:rPr>
                <w:sz w:val="20"/>
                <w:szCs w:val="20"/>
              </w:rPr>
              <w:t>LCC</w:t>
            </w:r>
          </w:p>
        </w:tc>
        <w:tc>
          <w:tcPr>
            <w:tcW w:w="990" w:type="dxa"/>
          </w:tcPr>
          <w:p w14:paraId="5677993C" w14:textId="77777777" w:rsidR="00EE677F" w:rsidRDefault="00D135FE">
            <w:pPr>
              <w:ind w:left="0"/>
              <w:jc w:val="center"/>
              <w:rPr>
                <w:sz w:val="20"/>
                <w:szCs w:val="20"/>
              </w:rPr>
            </w:pPr>
            <w:r>
              <w:rPr>
                <w:sz w:val="20"/>
                <w:szCs w:val="20"/>
              </w:rPr>
              <w:t>LCC Savings</w:t>
            </w:r>
          </w:p>
        </w:tc>
      </w:tr>
      <w:tr w:rsidR="005157FC" w14:paraId="37242CCE" w14:textId="77777777">
        <w:tc>
          <w:tcPr>
            <w:tcW w:w="1705" w:type="dxa"/>
            <w:vAlign w:val="bottom"/>
          </w:tcPr>
          <w:p w14:paraId="0AB74E67" w14:textId="77777777" w:rsidR="005157FC" w:rsidRDefault="005157FC" w:rsidP="005157FC">
            <w:pPr>
              <w:ind w:left="0"/>
              <w:rPr>
                <w:sz w:val="20"/>
                <w:szCs w:val="20"/>
              </w:rPr>
            </w:pPr>
            <w:r>
              <w:rPr>
                <w:sz w:val="20"/>
                <w:szCs w:val="20"/>
              </w:rPr>
              <w:t>0 - NWGF 80%</w:t>
            </w:r>
          </w:p>
        </w:tc>
        <w:tc>
          <w:tcPr>
            <w:tcW w:w="990" w:type="dxa"/>
            <w:vAlign w:val="bottom"/>
          </w:tcPr>
          <w:p w14:paraId="35477A3E" w14:textId="77777777" w:rsidR="005157FC" w:rsidRDefault="005157FC" w:rsidP="005157FC">
            <w:pPr>
              <w:jc w:val="right"/>
              <w:rPr>
                <w:rFonts w:ascii="Arial" w:hAnsi="Arial" w:cs="Arial"/>
                <w:sz w:val="16"/>
                <w:szCs w:val="16"/>
              </w:rPr>
            </w:pPr>
          </w:p>
        </w:tc>
        <w:tc>
          <w:tcPr>
            <w:tcW w:w="850" w:type="dxa"/>
            <w:vAlign w:val="bottom"/>
          </w:tcPr>
          <w:p w14:paraId="1229788A" w14:textId="77777777" w:rsidR="005157FC" w:rsidRDefault="005157FC" w:rsidP="005157FC">
            <w:pPr>
              <w:jc w:val="center"/>
              <w:rPr>
                <w:rFonts w:ascii="Arial" w:hAnsi="Arial" w:cs="Arial"/>
                <w:sz w:val="16"/>
                <w:szCs w:val="16"/>
              </w:rPr>
            </w:pPr>
          </w:p>
        </w:tc>
        <w:tc>
          <w:tcPr>
            <w:tcW w:w="975" w:type="dxa"/>
            <w:vAlign w:val="bottom"/>
          </w:tcPr>
          <w:p w14:paraId="5C01FBB5" w14:textId="77777777" w:rsidR="005157FC" w:rsidRDefault="005157FC" w:rsidP="005157FC">
            <w:pPr>
              <w:jc w:val="right"/>
              <w:rPr>
                <w:rFonts w:ascii="Arial" w:hAnsi="Arial" w:cs="Arial"/>
                <w:sz w:val="16"/>
                <w:szCs w:val="16"/>
              </w:rPr>
            </w:pPr>
          </w:p>
        </w:tc>
        <w:tc>
          <w:tcPr>
            <w:tcW w:w="1032" w:type="dxa"/>
            <w:vAlign w:val="bottom"/>
          </w:tcPr>
          <w:p w14:paraId="532223B9" w14:textId="77777777" w:rsidR="005157FC" w:rsidRDefault="005157FC" w:rsidP="005157FC">
            <w:pPr>
              <w:jc w:val="center"/>
              <w:rPr>
                <w:rFonts w:ascii="Arial" w:hAnsi="Arial" w:cs="Arial"/>
                <w:sz w:val="16"/>
                <w:szCs w:val="16"/>
              </w:rPr>
            </w:pPr>
          </w:p>
        </w:tc>
        <w:tc>
          <w:tcPr>
            <w:tcW w:w="908" w:type="dxa"/>
            <w:vAlign w:val="bottom"/>
          </w:tcPr>
          <w:p w14:paraId="5FC1494C" w14:textId="77777777" w:rsidR="005157FC" w:rsidRDefault="005157FC" w:rsidP="005157FC">
            <w:pPr>
              <w:jc w:val="right"/>
              <w:rPr>
                <w:rFonts w:ascii="Arial" w:hAnsi="Arial" w:cs="Arial"/>
                <w:sz w:val="16"/>
                <w:szCs w:val="16"/>
              </w:rPr>
            </w:pPr>
          </w:p>
        </w:tc>
        <w:tc>
          <w:tcPr>
            <w:tcW w:w="986" w:type="dxa"/>
            <w:vAlign w:val="bottom"/>
          </w:tcPr>
          <w:p w14:paraId="1525C154" w14:textId="77777777" w:rsidR="005157FC" w:rsidRDefault="005157FC" w:rsidP="005157FC">
            <w:pPr>
              <w:jc w:val="center"/>
              <w:rPr>
                <w:rFonts w:ascii="Arial" w:hAnsi="Arial" w:cs="Arial"/>
                <w:sz w:val="16"/>
                <w:szCs w:val="16"/>
              </w:rPr>
            </w:pPr>
          </w:p>
        </w:tc>
        <w:tc>
          <w:tcPr>
            <w:tcW w:w="904" w:type="dxa"/>
            <w:vAlign w:val="bottom"/>
          </w:tcPr>
          <w:p w14:paraId="64766963" w14:textId="79AEF988" w:rsidR="005157FC" w:rsidRDefault="005157FC" w:rsidP="005157FC">
            <w:pPr>
              <w:ind w:left="0"/>
              <w:jc w:val="right"/>
              <w:rPr>
                <w:rFonts w:ascii="Arial" w:hAnsi="Arial" w:cs="Arial"/>
                <w:sz w:val="16"/>
                <w:szCs w:val="16"/>
              </w:rPr>
            </w:pPr>
            <w:r w:rsidRPr="005157FC">
              <w:rPr>
                <w:sz w:val="20"/>
                <w:szCs w:val="20"/>
              </w:rPr>
              <w:t>$8,474</w:t>
            </w:r>
          </w:p>
        </w:tc>
        <w:tc>
          <w:tcPr>
            <w:tcW w:w="990" w:type="dxa"/>
            <w:vAlign w:val="bottom"/>
          </w:tcPr>
          <w:p w14:paraId="2DB5EBCF" w14:textId="68FAFAC3" w:rsidR="005157FC" w:rsidRDefault="005157FC" w:rsidP="005157FC">
            <w:pPr>
              <w:ind w:left="0"/>
              <w:jc w:val="right"/>
              <w:rPr>
                <w:rFonts w:ascii="Arial" w:hAnsi="Arial" w:cs="Arial"/>
                <w:sz w:val="16"/>
                <w:szCs w:val="16"/>
              </w:rPr>
            </w:pPr>
            <w:r w:rsidRPr="005157FC">
              <w:rPr>
                <w:sz w:val="20"/>
                <w:szCs w:val="20"/>
              </w:rPr>
              <w:t>NA</w:t>
            </w:r>
          </w:p>
        </w:tc>
      </w:tr>
      <w:tr w:rsidR="005157FC" w14:paraId="45B58A50" w14:textId="77777777">
        <w:tc>
          <w:tcPr>
            <w:tcW w:w="1705" w:type="dxa"/>
            <w:vAlign w:val="bottom"/>
          </w:tcPr>
          <w:p w14:paraId="01D7B50E" w14:textId="77777777" w:rsidR="005157FC" w:rsidRDefault="005157FC" w:rsidP="005157FC">
            <w:pPr>
              <w:ind w:left="0"/>
              <w:rPr>
                <w:sz w:val="20"/>
                <w:szCs w:val="20"/>
              </w:rPr>
            </w:pPr>
            <w:r>
              <w:rPr>
                <w:sz w:val="20"/>
                <w:szCs w:val="20"/>
              </w:rPr>
              <w:t>1 - NWGF 90%</w:t>
            </w:r>
          </w:p>
        </w:tc>
        <w:tc>
          <w:tcPr>
            <w:tcW w:w="990" w:type="dxa"/>
            <w:vAlign w:val="bottom"/>
          </w:tcPr>
          <w:p w14:paraId="4B4981DF" w14:textId="77777777" w:rsidR="005157FC" w:rsidRDefault="005157FC" w:rsidP="005157FC">
            <w:pPr>
              <w:jc w:val="right"/>
              <w:rPr>
                <w:rFonts w:ascii="Arial" w:hAnsi="Arial" w:cs="Arial"/>
                <w:sz w:val="16"/>
                <w:szCs w:val="16"/>
              </w:rPr>
            </w:pPr>
          </w:p>
        </w:tc>
        <w:tc>
          <w:tcPr>
            <w:tcW w:w="850" w:type="dxa"/>
            <w:vAlign w:val="bottom"/>
          </w:tcPr>
          <w:p w14:paraId="5E083329"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7B9F92FE" w14:textId="77777777" w:rsidR="005157FC" w:rsidRDefault="005157FC" w:rsidP="005157FC">
            <w:pPr>
              <w:jc w:val="right"/>
              <w:rPr>
                <w:rFonts w:ascii="Arial" w:hAnsi="Arial" w:cs="Arial"/>
                <w:sz w:val="16"/>
                <w:szCs w:val="16"/>
              </w:rPr>
            </w:pPr>
          </w:p>
        </w:tc>
        <w:tc>
          <w:tcPr>
            <w:tcW w:w="1032" w:type="dxa"/>
            <w:vAlign w:val="bottom"/>
          </w:tcPr>
          <w:p w14:paraId="33D71814"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5DC39034" w14:textId="77777777" w:rsidR="005157FC" w:rsidRDefault="005157FC" w:rsidP="005157FC">
            <w:pPr>
              <w:jc w:val="right"/>
              <w:rPr>
                <w:rFonts w:ascii="Arial" w:hAnsi="Arial" w:cs="Arial"/>
                <w:sz w:val="16"/>
                <w:szCs w:val="16"/>
              </w:rPr>
            </w:pPr>
          </w:p>
        </w:tc>
        <w:tc>
          <w:tcPr>
            <w:tcW w:w="986" w:type="dxa"/>
            <w:vAlign w:val="bottom"/>
          </w:tcPr>
          <w:p w14:paraId="32800C09"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755A7362" w14:textId="7A1FA650" w:rsidR="005157FC" w:rsidRDefault="005157FC" w:rsidP="005157FC">
            <w:pPr>
              <w:ind w:left="0"/>
              <w:jc w:val="right"/>
              <w:rPr>
                <w:rFonts w:ascii="Arial" w:hAnsi="Arial" w:cs="Arial"/>
                <w:sz w:val="16"/>
                <w:szCs w:val="16"/>
              </w:rPr>
            </w:pPr>
            <w:r w:rsidRPr="005157FC">
              <w:rPr>
                <w:sz w:val="20"/>
                <w:szCs w:val="20"/>
              </w:rPr>
              <w:t>$8,265</w:t>
            </w:r>
          </w:p>
        </w:tc>
        <w:tc>
          <w:tcPr>
            <w:tcW w:w="990" w:type="dxa"/>
            <w:vAlign w:val="bottom"/>
          </w:tcPr>
          <w:p w14:paraId="2A0966B2" w14:textId="430F023A" w:rsidR="005157FC" w:rsidRPr="005157FC" w:rsidRDefault="005157FC" w:rsidP="005157FC">
            <w:pPr>
              <w:ind w:left="0"/>
              <w:jc w:val="right"/>
              <w:rPr>
                <w:sz w:val="20"/>
                <w:szCs w:val="20"/>
              </w:rPr>
            </w:pPr>
            <w:r w:rsidRPr="005157FC">
              <w:rPr>
                <w:sz w:val="20"/>
                <w:szCs w:val="20"/>
              </w:rPr>
              <w:t xml:space="preserve">$192  </w:t>
            </w:r>
          </w:p>
        </w:tc>
      </w:tr>
      <w:tr w:rsidR="005157FC" w14:paraId="70F25CD9" w14:textId="77777777">
        <w:tc>
          <w:tcPr>
            <w:tcW w:w="1705" w:type="dxa"/>
            <w:vAlign w:val="bottom"/>
          </w:tcPr>
          <w:p w14:paraId="6087FC1F" w14:textId="77777777" w:rsidR="005157FC" w:rsidRDefault="005157FC" w:rsidP="005157FC">
            <w:pPr>
              <w:ind w:left="0"/>
              <w:rPr>
                <w:sz w:val="20"/>
                <w:szCs w:val="20"/>
              </w:rPr>
            </w:pPr>
            <w:r>
              <w:rPr>
                <w:sz w:val="20"/>
                <w:szCs w:val="20"/>
              </w:rPr>
              <w:t>2 - NWGF 92%</w:t>
            </w:r>
          </w:p>
        </w:tc>
        <w:tc>
          <w:tcPr>
            <w:tcW w:w="990" w:type="dxa"/>
            <w:vAlign w:val="bottom"/>
          </w:tcPr>
          <w:p w14:paraId="5BE02207" w14:textId="77777777" w:rsidR="005157FC" w:rsidRDefault="005157FC" w:rsidP="005157FC">
            <w:pPr>
              <w:jc w:val="right"/>
              <w:rPr>
                <w:rFonts w:ascii="Arial" w:hAnsi="Arial" w:cs="Arial"/>
                <w:sz w:val="16"/>
                <w:szCs w:val="16"/>
              </w:rPr>
            </w:pPr>
          </w:p>
        </w:tc>
        <w:tc>
          <w:tcPr>
            <w:tcW w:w="850" w:type="dxa"/>
            <w:vAlign w:val="bottom"/>
          </w:tcPr>
          <w:p w14:paraId="40864E8B"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7B8008D4" w14:textId="77777777" w:rsidR="005157FC" w:rsidRDefault="005157FC" w:rsidP="005157FC">
            <w:pPr>
              <w:jc w:val="right"/>
              <w:rPr>
                <w:rFonts w:ascii="Arial" w:hAnsi="Arial" w:cs="Arial"/>
                <w:sz w:val="16"/>
                <w:szCs w:val="16"/>
              </w:rPr>
            </w:pPr>
          </w:p>
        </w:tc>
        <w:tc>
          <w:tcPr>
            <w:tcW w:w="1032" w:type="dxa"/>
            <w:vAlign w:val="bottom"/>
          </w:tcPr>
          <w:p w14:paraId="79DFA127"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133643FD" w14:textId="77777777" w:rsidR="005157FC" w:rsidRDefault="005157FC" w:rsidP="005157FC">
            <w:pPr>
              <w:jc w:val="right"/>
              <w:rPr>
                <w:rFonts w:ascii="Arial" w:hAnsi="Arial" w:cs="Arial"/>
                <w:sz w:val="16"/>
                <w:szCs w:val="16"/>
              </w:rPr>
            </w:pPr>
          </w:p>
        </w:tc>
        <w:tc>
          <w:tcPr>
            <w:tcW w:w="986" w:type="dxa"/>
            <w:vAlign w:val="bottom"/>
          </w:tcPr>
          <w:p w14:paraId="23DB0D44"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2598A0B4" w14:textId="5CB05C9A" w:rsidR="005157FC" w:rsidRDefault="005157FC" w:rsidP="005157FC">
            <w:pPr>
              <w:ind w:left="0"/>
              <w:jc w:val="right"/>
              <w:rPr>
                <w:rFonts w:ascii="Arial" w:hAnsi="Arial" w:cs="Arial"/>
                <w:sz w:val="16"/>
                <w:szCs w:val="16"/>
              </w:rPr>
            </w:pPr>
            <w:r w:rsidRPr="005157FC">
              <w:rPr>
                <w:sz w:val="20"/>
                <w:szCs w:val="20"/>
              </w:rPr>
              <w:t>$8,187</w:t>
            </w:r>
          </w:p>
        </w:tc>
        <w:tc>
          <w:tcPr>
            <w:tcW w:w="990" w:type="dxa"/>
            <w:vAlign w:val="bottom"/>
          </w:tcPr>
          <w:p w14:paraId="6B59D94D" w14:textId="6BE6D8E3" w:rsidR="005157FC" w:rsidRPr="005157FC" w:rsidRDefault="005157FC" w:rsidP="005157FC">
            <w:pPr>
              <w:ind w:left="0"/>
              <w:jc w:val="right"/>
              <w:rPr>
                <w:sz w:val="20"/>
                <w:szCs w:val="20"/>
              </w:rPr>
            </w:pPr>
            <w:r w:rsidRPr="005157FC">
              <w:rPr>
                <w:sz w:val="20"/>
                <w:szCs w:val="20"/>
              </w:rPr>
              <w:t xml:space="preserve">$259  </w:t>
            </w:r>
          </w:p>
        </w:tc>
      </w:tr>
      <w:tr w:rsidR="005157FC" w14:paraId="3D6D8A15" w14:textId="77777777">
        <w:tc>
          <w:tcPr>
            <w:tcW w:w="1705" w:type="dxa"/>
            <w:vAlign w:val="bottom"/>
          </w:tcPr>
          <w:p w14:paraId="1CE0F708" w14:textId="77777777" w:rsidR="005157FC" w:rsidRDefault="005157FC" w:rsidP="005157FC">
            <w:pPr>
              <w:ind w:left="0"/>
              <w:rPr>
                <w:sz w:val="20"/>
                <w:szCs w:val="20"/>
              </w:rPr>
            </w:pPr>
            <w:r>
              <w:rPr>
                <w:sz w:val="20"/>
                <w:szCs w:val="20"/>
              </w:rPr>
              <w:t>3 - NWGF 95%</w:t>
            </w:r>
          </w:p>
        </w:tc>
        <w:tc>
          <w:tcPr>
            <w:tcW w:w="990" w:type="dxa"/>
            <w:vAlign w:val="bottom"/>
          </w:tcPr>
          <w:p w14:paraId="7D71ADAB" w14:textId="77777777" w:rsidR="005157FC" w:rsidRDefault="005157FC" w:rsidP="005157FC">
            <w:pPr>
              <w:jc w:val="right"/>
              <w:rPr>
                <w:rFonts w:ascii="Arial" w:hAnsi="Arial" w:cs="Arial"/>
                <w:sz w:val="16"/>
                <w:szCs w:val="16"/>
              </w:rPr>
            </w:pPr>
          </w:p>
        </w:tc>
        <w:tc>
          <w:tcPr>
            <w:tcW w:w="850" w:type="dxa"/>
            <w:vAlign w:val="bottom"/>
          </w:tcPr>
          <w:p w14:paraId="0D206911"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2F6B730A" w14:textId="77777777" w:rsidR="005157FC" w:rsidRDefault="005157FC" w:rsidP="005157FC">
            <w:pPr>
              <w:jc w:val="right"/>
              <w:rPr>
                <w:rFonts w:ascii="Arial" w:hAnsi="Arial" w:cs="Arial"/>
                <w:sz w:val="16"/>
                <w:szCs w:val="16"/>
              </w:rPr>
            </w:pPr>
          </w:p>
        </w:tc>
        <w:tc>
          <w:tcPr>
            <w:tcW w:w="1032" w:type="dxa"/>
            <w:vAlign w:val="bottom"/>
          </w:tcPr>
          <w:p w14:paraId="48291382"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6ADE4A00" w14:textId="77777777" w:rsidR="005157FC" w:rsidRDefault="005157FC" w:rsidP="005157FC">
            <w:pPr>
              <w:jc w:val="right"/>
              <w:rPr>
                <w:rFonts w:ascii="Arial" w:hAnsi="Arial" w:cs="Arial"/>
                <w:sz w:val="16"/>
                <w:szCs w:val="16"/>
              </w:rPr>
            </w:pPr>
          </w:p>
        </w:tc>
        <w:tc>
          <w:tcPr>
            <w:tcW w:w="986" w:type="dxa"/>
            <w:vAlign w:val="bottom"/>
          </w:tcPr>
          <w:p w14:paraId="6CC9D1CA"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158232E3" w14:textId="3FD5E88C" w:rsidR="005157FC" w:rsidRDefault="005157FC" w:rsidP="005157FC">
            <w:pPr>
              <w:ind w:left="0"/>
              <w:jc w:val="right"/>
              <w:rPr>
                <w:rFonts w:ascii="Arial" w:hAnsi="Arial" w:cs="Arial"/>
                <w:sz w:val="16"/>
                <w:szCs w:val="16"/>
              </w:rPr>
            </w:pPr>
            <w:r w:rsidRPr="005157FC">
              <w:rPr>
                <w:sz w:val="20"/>
                <w:szCs w:val="20"/>
              </w:rPr>
              <w:t>$8,120</w:t>
            </w:r>
          </w:p>
        </w:tc>
        <w:tc>
          <w:tcPr>
            <w:tcW w:w="990" w:type="dxa"/>
            <w:vAlign w:val="bottom"/>
          </w:tcPr>
          <w:p w14:paraId="3EE6F5B9" w14:textId="1CF449EC" w:rsidR="005157FC" w:rsidRPr="005157FC" w:rsidRDefault="005157FC" w:rsidP="005157FC">
            <w:pPr>
              <w:ind w:left="0"/>
              <w:jc w:val="right"/>
              <w:rPr>
                <w:sz w:val="20"/>
                <w:szCs w:val="20"/>
              </w:rPr>
            </w:pPr>
            <w:r w:rsidRPr="005157FC">
              <w:rPr>
                <w:sz w:val="20"/>
                <w:szCs w:val="20"/>
              </w:rPr>
              <w:t xml:space="preserve">$324  </w:t>
            </w:r>
          </w:p>
        </w:tc>
      </w:tr>
      <w:tr w:rsidR="005157FC" w14:paraId="2F8F29F1" w14:textId="77777777">
        <w:tc>
          <w:tcPr>
            <w:tcW w:w="1705" w:type="dxa"/>
            <w:vAlign w:val="bottom"/>
          </w:tcPr>
          <w:p w14:paraId="2E57133C" w14:textId="77777777" w:rsidR="005157FC" w:rsidRDefault="005157FC" w:rsidP="005157FC">
            <w:pPr>
              <w:ind w:left="0"/>
              <w:rPr>
                <w:sz w:val="20"/>
                <w:szCs w:val="20"/>
              </w:rPr>
            </w:pPr>
            <w:r>
              <w:rPr>
                <w:sz w:val="20"/>
                <w:szCs w:val="20"/>
              </w:rPr>
              <w:t>4 - NWGF 98%</w:t>
            </w:r>
          </w:p>
        </w:tc>
        <w:tc>
          <w:tcPr>
            <w:tcW w:w="990" w:type="dxa"/>
            <w:vAlign w:val="bottom"/>
          </w:tcPr>
          <w:p w14:paraId="5D89A2D6" w14:textId="77777777" w:rsidR="005157FC" w:rsidRDefault="005157FC" w:rsidP="005157FC">
            <w:pPr>
              <w:jc w:val="right"/>
              <w:rPr>
                <w:rFonts w:ascii="Arial" w:hAnsi="Arial" w:cs="Arial"/>
                <w:sz w:val="16"/>
                <w:szCs w:val="16"/>
              </w:rPr>
            </w:pPr>
          </w:p>
        </w:tc>
        <w:tc>
          <w:tcPr>
            <w:tcW w:w="850" w:type="dxa"/>
            <w:vAlign w:val="bottom"/>
          </w:tcPr>
          <w:p w14:paraId="0438D4DF"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134B1C6C" w14:textId="77777777" w:rsidR="005157FC" w:rsidRDefault="005157FC" w:rsidP="005157FC">
            <w:pPr>
              <w:jc w:val="right"/>
              <w:rPr>
                <w:rFonts w:ascii="Arial" w:hAnsi="Arial" w:cs="Arial"/>
                <w:sz w:val="16"/>
                <w:szCs w:val="16"/>
              </w:rPr>
            </w:pPr>
          </w:p>
        </w:tc>
        <w:tc>
          <w:tcPr>
            <w:tcW w:w="1032" w:type="dxa"/>
            <w:vAlign w:val="bottom"/>
          </w:tcPr>
          <w:p w14:paraId="438E118F"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3C4468E0" w14:textId="77777777" w:rsidR="005157FC" w:rsidRDefault="005157FC" w:rsidP="005157FC">
            <w:pPr>
              <w:jc w:val="right"/>
              <w:rPr>
                <w:rFonts w:ascii="Arial" w:hAnsi="Arial" w:cs="Arial"/>
                <w:sz w:val="16"/>
                <w:szCs w:val="16"/>
              </w:rPr>
            </w:pPr>
          </w:p>
        </w:tc>
        <w:tc>
          <w:tcPr>
            <w:tcW w:w="986" w:type="dxa"/>
            <w:vAlign w:val="bottom"/>
          </w:tcPr>
          <w:p w14:paraId="27782F9F"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48C79CDC" w14:textId="2A648B8F" w:rsidR="005157FC" w:rsidRDefault="005157FC" w:rsidP="005157FC">
            <w:pPr>
              <w:ind w:left="0"/>
              <w:jc w:val="right"/>
              <w:rPr>
                <w:rFonts w:ascii="Arial" w:hAnsi="Arial" w:cs="Arial"/>
                <w:sz w:val="16"/>
                <w:szCs w:val="16"/>
              </w:rPr>
            </w:pPr>
            <w:r w:rsidRPr="005157FC">
              <w:rPr>
                <w:sz w:val="20"/>
                <w:szCs w:val="20"/>
              </w:rPr>
              <w:t>$8,134</w:t>
            </w:r>
          </w:p>
        </w:tc>
        <w:tc>
          <w:tcPr>
            <w:tcW w:w="990" w:type="dxa"/>
            <w:vAlign w:val="bottom"/>
          </w:tcPr>
          <w:p w14:paraId="2CD9834F" w14:textId="430A03F7" w:rsidR="005157FC" w:rsidRPr="005157FC" w:rsidRDefault="005157FC" w:rsidP="005157FC">
            <w:pPr>
              <w:ind w:left="0"/>
              <w:jc w:val="right"/>
              <w:rPr>
                <w:sz w:val="20"/>
                <w:szCs w:val="20"/>
              </w:rPr>
            </w:pPr>
            <w:r w:rsidRPr="005157FC">
              <w:rPr>
                <w:sz w:val="20"/>
                <w:szCs w:val="20"/>
              </w:rPr>
              <w:t xml:space="preserve">$311  </w:t>
            </w:r>
          </w:p>
        </w:tc>
      </w:tr>
    </w:tbl>
    <w:p w14:paraId="2248DDE4" w14:textId="77777777" w:rsidR="00EE677F" w:rsidRDefault="00EE677F">
      <w:pPr>
        <w:rPr>
          <w:b/>
        </w:rPr>
      </w:pPr>
    </w:p>
    <w:p w14:paraId="60753769" w14:textId="77777777" w:rsidR="00EE677F" w:rsidRDefault="00D135FE">
      <w:pPr>
        <w:rPr>
          <w:b/>
        </w:rPr>
      </w:pPr>
      <w:r>
        <w:rPr>
          <w:b/>
        </w:rPr>
        <w:t>With Less Conservative Assumptions for Orphaned Water Heater</w:t>
      </w:r>
    </w:p>
    <w:tbl>
      <w:tblPr>
        <w:tblStyle w:val="TableGrid"/>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5157FC" w14:paraId="39E53AD2" w14:textId="77777777" w:rsidTr="005157FC">
        <w:tc>
          <w:tcPr>
            <w:tcW w:w="1705" w:type="dxa"/>
            <w:vMerge w:val="restart"/>
          </w:tcPr>
          <w:p w14:paraId="4586E1BF" w14:textId="77777777" w:rsidR="005157FC" w:rsidRDefault="005157FC" w:rsidP="005157FC">
            <w:pPr>
              <w:ind w:left="0"/>
              <w:rPr>
                <w:sz w:val="20"/>
                <w:szCs w:val="20"/>
              </w:rPr>
            </w:pPr>
            <w:r>
              <w:rPr>
                <w:sz w:val="20"/>
                <w:szCs w:val="20"/>
              </w:rPr>
              <w:t>NWGF Efficiency Level</w:t>
            </w:r>
          </w:p>
        </w:tc>
        <w:tc>
          <w:tcPr>
            <w:tcW w:w="1840" w:type="dxa"/>
            <w:gridSpan w:val="2"/>
          </w:tcPr>
          <w:p w14:paraId="628F2CA2" w14:textId="77777777" w:rsidR="005157FC" w:rsidRDefault="005157FC" w:rsidP="005157FC">
            <w:pPr>
              <w:ind w:left="0"/>
              <w:jc w:val="center"/>
              <w:rPr>
                <w:sz w:val="20"/>
                <w:szCs w:val="20"/>
              </w:rPr>
            </w:pPr>
            <w:r>
              <w:rPr>
                <w:sz w:val="20"/>
                <w:szCs w:val="20"/>
              </w:rPr>
              <w:t>U.S.</w:t>
            </w:r>
          </w:p>
        </w:tc>
        <w:tc>
          <w:tcPr>
            <w:tcW w:w="2007" w:type="dxa"/>
            <w:gridSpan w:val="2"/>
          </w:tcPr>
          <w:p w14:paraId="29B0314C" w14:textId="77777777" w:rsidR="005157FC" w:rsidRDefault="005157FC" w:rsidP="005157FC">
            <w:pPr>
              <w:ind w:left="0"/>
              <w:jc w:val="center"/>
              <w:rPr>
                <w:sz w:val="20"/>
                <w:szCs w:val="20"/>
              </w:rPr>
            </w:pPr>
            <w:r>
              <w:rPr>
                <w:sz w:val="20"/>
                <w:szCs w:val="20"/>
              </w:rPr>
              <w:t>Northern U.S.</w:t>
            </w:r>
          </w:p>
        </w:tc>
        <w:tc>
          <w:tcPr>
            <w:tcW w:w="0" w:type="auto"/>
            <w:gridSpan w:val="2"/>
          </w:tcPr>
          <w:p w14:paraId="67600068" w14:textId="77777777" w:rsidR="005157FC" w:rsidRDefault="005157FC" w:rsidP="005157FC">
            <w:pPr>
              <w:ind w:left="0"/>
              <w:jc w:val="center"/>
              <w:rPr>
                <w:sz w:val="20"/>
                <w:szCs w:val="20"/>
              </w:rPr>
            </w:pPr>
            <w:r>
              <w:rPr>
                <w:sz w:val="20"/>
                <w:szCs w:val="20"/>
              </w:rPr>
              <w:t>Southern U.S.</w:t>
            </w:r>
          </w:p>
        </w:tc>
        <w:tc>
          <w:tcPr>
            <w:tcW w:w="0" w:type="auto"/>
            <w:gridSpan w:val="2"/>
          </w:tcPr>
          <w:p w14:paraId="68FC80C7" w14:textId="77777777" w:rsidR="005157FC" w:rsidRDefault="005157FC" w:rsidP="005157FC">
            <w:pPr>
              <w:ind w:left="0"/>
              <w:jc w:val="center"/>
              <w:rPr>
                <w:sz w:val="20"/>
                <w:szCs w:val="20"/>
              </w:rPr>
            </w:pPr>
            <w:r>
              <w:rPr>
                <w:sz w:val="20"/>
                <w:szCs w:val="20"/>
              </w:rPr>
              <w:t>California Only</w:t>
            </w:r>
          </w:p>
        </w:tc>
      </w:tr>
      <w:tr w:rsidR="005157FC" w14:paraId="2A66EAE6" w14:textId="77777777" w:rsidTr="005157FC">
        <w:tc>
          <w:tcPr>
            <w:tcW w:w="1705" w:type="dxa"/>
            <w:vMerge/>
          </w:tcPr>
          <w:p w14:paraId="2A0E4CAD" w14:textId="77777777" w:rsidR="005157FC" w:rsidRDefault="005157FC" w:rsidP="005157FC">
            <w:pPr>
              <w:ind w:left="0"/>
              <w:rPr>
                <w:sz w:val="20"/>
                <w:szCs w:val="20"/>
              </w:rPr>
            </w:pPr>
          </w:p>
        </w:tc>
        <w:tc>
          <w:tcPr>
            <w:tcW w:w="990" w:type="dxa"/>
          </w:tcPr>
          <w:p w14:paraId="01A06025" w14:textId="77777777" w:rsidR="005157FC" w:rsidRDefault="005157FC" w:rsidP="005157FC">
            <w:pPr>
              <w:ind w:left="0"/>
              <w:jc w:val="center"/>
              <w:rPr>
                <w:sz w:val="20"/>
                <w:szCs w:val="20"/>
              </w:rPr>
            </w:pPr>
            <w:r>
              <w:rPr>
                <w:sz w:val="20"/>
                <w:szCs w:val="20"/>
              </w:rPr>
              <w:t>LCC</w:t>
            </w:r>
          </w:p>
        </w:tc>
        <w:tc>
          <w:tcPr>
            <w:tcW w:w="850" w:type="dxa"/>
          </w:tcPr>
          <w:p w14:paraId="00951003" w14:textId="77777777" w:rsidR="005157FC" w:rsidRDefault="005157FC" w:rsidP="005157FC">
            <w:pPr>
              <w:ind w:left="0"/>
              <w:jc w:val="center"/>
              <w:rPr>
                <w:sz w:val="20"/>
                <w:szCs w:val="20"/>
              </w:rPr>
            </w:pPr>
            <w:r>
              <w:rPr>
                <w:sz w:val="20"/>
                <w:szCs w:val="20"/>
              </w:rPr>
              <w:t xml:space="preserve">LCC </w:t>
            </w:r>
            <w:r>
              <w:rPr>
                <w:sz w:val="20"/>
                <w:szCs w:val="20"/>
              </w:rPr>
              <w:lastRenderedPageBreak/>
              <w:t>Savings</w:t>
            </w:r>
          </w:p>
        </w:tc>
        <w:tc>
          <w:tcPr>
            <w:tcW w:w="975" w:type="dxa"/>
          </w:tcPr>
          <w:p w14:paraId="7193E8C7" w14:textId="77777777" w:rsidR="005157FC" w:rsidRDefault="005157FC" w:rsidP="005157FC">
            <w:pPr>
              <w:ind w:left="0"/>
              <w:jc w:val="center"/>
              <w:rPr>
                <w:sz w:val="20"/>
                <w:szCs w:val="20"/>
              </w:rPr>
            </w:pPr>
            <w:r>
              <w:rPr>
                <w:sz w:val="20"/>
                <w:szCs w:val="20"/>
              </w:rPr>
              <w:lastRenderedPageBreak/>
              <w:t>LCC</w:t>
            </w:r>
          </w:p>
        </w:tc>
        <w:tc>
          <w:tcPr>
            <w:tcW w:w="1032" w:type="dxa"/>
          </w:tcPr>
          <w:p w14:paraId="52560DA4" w14:textId="77777777" w:rsidR="005157FC" w:rsidRDefault="005157FC" w:rsidP="005157FC">
            <w:pPr>
              <w:ind w:left="0"/>
              <w:jc w:val="center"/>
              <w:rPr>
                <w:sz w:val="20"/>
                <w:szCs w:val="20"/>
              </w:rPr>
            </w:pPr>
            <w:r>
              <w:rPr>
                <w:sz w:val="20"/>
                <w:szCs w:val="20"/>
              </w:rPr>
              <w:t xml:space="preserve">LCC </w:t>
            </w:r>
            <w:r>
              <w:rPr>
                <w:sz w:val="20"/>
                <w:szCs w:val="20"/>
              </w:rPr>
              <w:lastRenderedPageBreak/>
              <w:t>Savings</w:t>
            </w:r>
          </w:p>
        </w:tc>
        <w:tc>
          <w:tcPr>
            <w:tcW w:w="908" w:type="dxa"/>
          </w:tcPr>
          <w:p w14:paraId="4A563B19" w14:textId="77777777" w:rsidR="005157FC" w:rsidRDefault="005157FC" w:rsidP="005157FC">
            <w:pPr>
              <w:ind w:left="0"/>
              <w:jc w:val="center"/>
              <w:rPr>
                <w:sz w:val="20"/>
                <w:szCs w:val="20"/>
              </w:rPr>
            </w:pPr>
            <w:r>
              <w:rPr>
                <w:sz w:val="20"/>
                <w:szCs w:val="20"/>
              </w:rPr>
              <w:lastRenderedPageBreak/>
              <w:t>LCC</w:t>
            </w:r>
          </w:p>
        </w:tc>
        <w:tc>
          <w:tcPr>
            <w:tcW w:w="986" w:type="dxa"/>
          </w:tcPr>
          <w:p w14:paraId="692604D9" w14:textId="77777777" w:rsidR="005157FC" w:rsidRDefault="005157FC" w:rsidP="005157FC">
            <w:pPr>
              <w:ind w:left="0"/>
              <w:jc w:val="center"/>
              <w:rPr>
                <w:sz w:val="20"/>
                <w:szCs w:val="20"/>
              </w:rPr>
            </w:pPr>
            <w:r>
              <w:rPr>
                <w:sz w:val="20"/>
                <w:szCs w:val="20"/>
              </w:rPr>
              <w:t xml:space="preserve">LCC </w:t>
            </w:r>
            <w:r>
              <w:rPr>
                <w:sz w:val="20"/>
                <w:szCs w:val="20"/>
              </w:rPr>
              <w:lastRenderedPageBreak/>
              <w:t>Savings</w:t>
            </w:r>
          </w:p>
        </w:tc>
        <w:tc>
          <w:tcPr>
            <w:tcW w:w="904" w:type="dxa"/>
          </w:tcPr>
          <w:p w14:paraId="7294DFB5" w14:textId="77777777" w:rsidR="005157FC" w:rsidRDefault="005157FC" w:rsidP="005157FC">
            <w:pPr>
              <w:ind w:left="0"/>
              <w:jc w:val="center"/>
              <w:rPr>
                <w:sz w:val="20"/>
                <w:szCs w:val="20"/>
              </w:rPr>
            </w:pPr>
            <w:r>
              <w:rPr>
                <w:sz w:val="20"/>
                <w:szCs w:val="20"/>
              </w:rPr>
              <w:lastRenderedPageBreak/>
              <w:t>LCC</w:t>
            </w:r>
          </w:p>
        </w:tc>
        <w:tc>
          <w:tcPr>
            <w:tcW w:w="990" w:type="dxa"/>
          </w:tcPr>
          <w:p w14:paraId="54570BA7" w14:textId="77777777" w:rsidR="005157FC" w:rsidRDefault="005157FC" w:rsidP="005157FC">
            <w:pPr>
              <w:ind w:left="0"/>
              <w:jc w:val="center"/>
              <w:rPr>
                <w:sz w:val="20"/>
                <w:szCs w:val="20"/>
              </w:rPr>
            </w:pPr>
            <w:r>
              <w:rPr>
                <w:sz w:val="20"/>
                <w:szCs w:val="20"/>
              </w:rPr>
              <w:t xml:space="preserve">LCC </w:t>
            </w:r>
            <w:r>
              <w:rPr>
                <w:sz w:val="20"/>
                <w:szCs w:val="20"/>
              </w:rPr>
              <w:lastRenderedPageBreak/>
              <w:t>Savings</w:t>
            </w:r>
          </w:p>
        </w:tc>
      </w:tr>
      <w:tr w:rsidR="005157FC" w14:paraId="5DEBE4D4" w14:textId="77777777" w:rsidTr="005157FC">
        <w:tc>
          <w:tcPr>
            <w:tcW w:w="1705" w:type="dxa"/>
            <w:vAlign w:val="bottom"/>
          </w:tcPr>
          <w:p w14:paraId="494E3C3E" w14:textId="77777777" w:rsidR="005157FC" w:rsidRDefault="005157FC" w:rsidP="005157FC">
            <w:pPr>
              <w:ind w:left="0"/>
              <w:rPr>
                <w:sz w:val="20"/>
                <w:szCs w:val="20"/>
              </w:rPr>
            </w:pPr>
            <w:r>
              <w:rPr>
                <w:sz w:val="20"/>
                <w:szCs w:val="20"/>
              </w:rPr>
              <w:lastRenderedPageBreak/>
              <w:t>0 - NWGF 80%</w:t>
            </w:r>
          </w:p>
        </w:tc>
        <w:tc>
          <w:tcPr>
            <w:tcW w:w="990" w:type="dxa"/>
            <w:vAlign w:val="bottom"/>
          </w:tcPr>
          <w:p w14:paraId="5969E353" w14:textId="77777777" w:rsidR="005157FC" w:rsidRDefault="005157FC" w:rsidP="005157FC">
            <w:pPr>
              <w:jc w:val="right"/>
              <w:rPr>
                <w:rFonts w:ascii="Arial" w:hAnsi="Arial" w:cs="Arial"/>
                <w:sz w:val="16"/>
                <w:szCs w:val="16"/>
              </w:rPr>
            </w:pPr>
          </w:p>
        </w:tc>
        <w:tc>
          <w:tcPr>
            <w:tcW w:w="850" w:type="dxa"/>
            <w:vAlign w:val="bottom"/>
          </w:tcPr>
          <w:p w14:paraId="4E42C7F6" w14:textId="77777777" w:rsidR="005157FC" w:rsidRDefault="005157FC" w:rsidP="005157FC">
            <w:pPr>
              <w:jc w:val="center"/>
              <w:rPr>
                <w:rFonts w:ascii="Arial" w:hAnsi="Arial" w:cs="Arial"/>
                <w:sz w:val="16"/>
                <w:szCs w:val="16"/>
              </w:rPr>
            </w:pPr>
          </w:p>
        </w:tc>
        <w:tc>
          <w:tcPr>
            <w:tcW w:w="975" w:type="dxa"/>
            <w:vAlign w:val="bottom"/>
          </w:tcPr>
          <w:p w14:paraId="72FDF5EA" w14:textId="77777777" w:rsidR="005157FC" w:rsidRDefault="005157FC" w:rsidP="005157FC">
            <w:pPr>
              <w:jc w:val="right"/>
              <w:rPr>
                <w:rFonts w:ascii="Arial" w:hAnsi="Arial" w:cs="Arial"/>
                <w:sz w:val="16"/>
                <w:szCs w:val="16"/>
              </w:rPr>
            </w:pPr>
          </w:p>
        </w:tc>
        <w:tc>
          <w:tcPr>
            <w:tcW w:w="1032" w:type="dxa"/>
            <w:vAlign w:val="bottom"/>
          </w:tcPr>
          <w:p w14:paraId="13D01223" w14:textId="77777777" w:rsidR="005157FC" w:rsidRDefault="005157FC" w:rsidP="005157FC">
            <w:pPr>
              <w:jc w:val="center"/>
              <w:rPr>
                <w:rFonts w:ascii="Arial" w:hAnsi="Arial" w:cs="Arial"/>
                <w:sz w:val="16"/>
                <w:szCs w:val="16"/>
              </w:rPr>
            </w:pPr>
          </w:p>
        </w:tc>
        <w:tc>
          <w:tcPr>
            <w:tcW w:w="908" w:type="dxa"/>
            <w:vAlign w:val="bottom"/>
          </w:tcPr>
          <w:p w14:paraId="30549392" w14:textId="77777777" w:rsidR="005157FC" w:rsidRDefault="005157FC" w:rsidP="005157FC">
            <w:pPr>
              <w:jc w:val="right"/>
              <w:rPr>
                <w:rFonts w:ascii="Arial" w:hAnsi="Arial" w:cs="Arial"/>
                <w:sz w:val="16"/>
                <w:szCs w:val="16"/>
              </w:rPr>
            </w:pPr>
          </w:p>
        </w:tc>
        <w:tc>
          <w:tcPr>
            <w:tcW w:w="986" w:type="dxa"/>
            <w:vAlign w:val="bottom"/>
          </w:tcPr>
          <w:p w14:paraId="37AE0D20" w14:textId="77777777" w:rsidR="005157FC" w:rsidRDefault="005157FC" w:rsidP="005157FC">
            <w:pPr>
              <w:jc w:val="center"/>
              <w:rPr>
                <w:rFonts w:ascii="Arial" w:hAnsi="Arial" w:cs="Arial"/>
                <w:sz w:val="16"/>
                <w:szCs w:val="16"/>
              </w:rPr>
            </w:pPr>
          </w:p>
        </w:tc>
        <w:tc>
          <w:tcPr>
            <w:tcW w:w="904" w:type="dxa"/>
            <w:vAlign w:val="bottom"/>
          </w:tcPr>
          <w:p w14:paraId="2B3A4A3C" w14:textId="49A3EAE9" w:rsidR="005157FC" w:rsidRDefault="005157FC" w:rsidP="005157FC">
            <w:pPr>
              <w:ind w:left="0"/>
              <w:jc w:val="right"/>
              <w:rPr>
                <w:rFonts w:ascii="Arial" w:hAnsi="Arial" w:cs="Arial"/>
                <w:sz w:val="16"/>
                <w:szCs w:val="16"/>
              </w:rPr>
            </w:pPr>
          </w:p>
        </w:tc>
        <w:tc>
          <w:tcPr>
            <w:tcW w:w="990" w:type="dxa"/>
            <w:vAlign w:val="bottom"/>
          </w:tcPr>
          <w:p w14:paraId="763EAFD1" w14:textId="73561D03" w:rsidR="005157FC" w:rsidRDefault="005157FC" w:rsidP="005157FC">
            <w:pPr>
              <w:ind w:left="0"/>
              <w:jc w:val="right"/>
              <w:rPr>
                <w:rFonts w:ascii="Arial" w:hAnsi="Arial" w:cs="Arial"/>
                <w:sz w:val="16"/>
                <w:szCs w:val="16"/>
              </w:rPr>
            </w:pPr>
          </w:p>
        </w:tc>
      </w:tr>
      <w:tr w:rsidR="005157FC" w14:paraId="7D29EF2F" w14:textId="77777777" w:rsidTr="005157FC">
        <w:tc>
          <w:tcPr>
            <w:tcW w:w="1705" w:type="dxa"/>
            <w:vAlign w:val="bottom"/>
          </w:tcPr>
          <w:p w14:paraId="3DB67541" w14:textId="77777777" w:rsidR="005157FC" w:rsidRDefault="005157FC" w:rsidP="005157FC">
            <w:pPr>
              <w:ind w:left="0"/>
              <w:rPr>
                <w:sz w:val="20"/>
                <w:szCs w:val="20"/>
              </w:rPr>
            </w:pPr>
            <w:r>
              <w:rPr>
                <w:sz w:val="20"/>
                <w:szCs w:val="20"/>
              </w:rPr>
              <w:t>1 - NWGF 90%</w:t>
            </w:r>
          </w:p>
        </w:tc>
        <w:tc>
          <w:tcPr>
            <w:tcW w:w="990" w:type="dxa"/>
            <w:vAlign w:val="bottom"/>
          </w:tcPr>
          <w:p w14:paraId="1BBD0918" w14:textId="77777777" w:rsidR="005157FC" w:rsidRDefault="005157FC" w:rsidP="005157FC">
            <w:pPr>
              <w:jc w:val="right"/>
              <w:rPr>
                <w:rFonts w:ascii="Arial" w:hAnsi="Arial" w:cs="Arial"/>
                <w:sz w:val="16"/>
                <w:szCs w:val="16"/>
              </w:rPr>
            </w:pPr>
          </w:p>
        </w:tc>
        <w:tc>
          <w:tcPr>
            <w:tcW w:w="850" w:type="dxa"/>
            <w:vAlign w:val="bottom"/>
          </w:tcPr>
          <w:p w14:paraId="3E12A653"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6C83985D" w14:textId="77777777" w:rsidR="005157FC" w:rsidRDefault="005157FC" w:rsidP="005157FC">
            <w:pPr>
              <w:jc w:val="right"/>
              <w:rPr>
                <w:rFonts w:ascii="Arial" w:hAnsi="Arial" w:cs="Arial"/>
                <w:sz w:val="16"/>
                <w:szCs w:val="16"/>
              </w:rPr>
            </w:pPr>
          </w:p>
        </w:tc>
        <w:tc>
          <w:tcPr>
            <w:tcW w:w="1032" w:type="dxa"/>
            <w:vAlign w:val="bottom"/>
          </w:tcPr>
          <w:p w14:paraId="0F791C4D"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343F7AD5" w14:textId="77777777" w:rsidR="005157FC" w:rsidRDefault="005157FC" w:rsidP="005157FC">
            <w:pPr>
              <w:jc w:val="right"/>
              <w:rPr>
                <w:rFonts w:ascii="Arial" w:hAnsi="Arial" w:cs="Arial"/>
                <w:sz w:val="16"/>
                <w:szCs w:val="16"/>
              </w:rPr>
            </w:pPr>
          </w:p>
        </w:tc>
        <w:tc>
          <w:tcPr>
            <w:tcW w:w="986" w:type="dxa"/>
            <w:vAlign w:val="bottom"/>
          </w:tcPr>
          <w:p w14:paraId="02581473"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081535CE" w14:textId="7C00EBFE" w:rsidR="005157FC" w:rsidRDefault="005157FC" w:rsidP="005157FC">
            <w:pPr>
              <w:ind w:left="0"/>
              <w:jc w:val="right"/>
              <w:rPr>
                <w:rFonts w:ascii="Arial" w:hAnsi="Arial" w:cs="Arial"/>
                <w:sz w:val="16"/>
                <w:szCs w:val="16"/>
              </w:rPr>
            </w:pPr>
          </w:p>
        </w:tc>
        <w:tc>
          <w:tcPr>
            <w:tcW w:w="990" w:type="dxa"/>
            <w:vAlign w:val="bottom"/>
          </w:tcPr>
          <w:p w14:paraId="30BDD1E4" w14:textId="3077B8FF" w:rsidR="005157FC" w:rsidRPr="005157FC" w:rsidRDefault="005157FC" w:rsidP="005157FC">
            <w:pPr>
              <w:ind w:left="0"/>
              <w:jc w:val="right"/>
              <w:rPr>
                <w:sz w:val="20"/>
                <w:szCs w:val="20"/>
              </w:rPr>
            </w:pPr>
          </w:p>
        </w:tc>
      </w:tr>
      <w:tr w:rsidR="005157FC" w14:paraId="0213436B" w14:textId="77777777" w:rsidTr="005157FC">
        <w:tc>
          <w:tcPr>
            <w:tcW w:w="1705" w:type="dxa"/>
            <w:vAlign w:val="bottom"/>
          </w:tcPr>
          <w:p w14:paraId="4CC9C716" w14:textId="77777777" w:rsidR="005157FC" w:rsidRDefault="005157FC" w:rsidP="005157FC">
            <w:pPr>
              <w:ind w:left="0"/>
              <w:rPr>
                <w:sz w:val="20"/>
                <w:szCs w:val="20"/>
              </w:rPr>
            </w:pPr>
            <w:r>
              <w:rPr>
                <w:sz w:val="20"/>
                <w:szCs w:val="20"/>
              </w:rPr>
              <w:t>2 - NWGF 92%</w:t>
            </w:r>
          </w:p>
        </w:tc>
        <w:tc>
          <w:tcPr>
            <w:tcW w:w="990" w:type="dxa"/>
            <w:vAlign w:val="bottom"/>
          </w:tcPr>
          <w:p w14:paraId="73E77387" w14:textId="77777777" w:rsidR="005157FC" w:rsidRDefault="005157FC" w:rsidP="005157FC">
            <w:pPr>
              <w:jc w:val="right"/>
              <w:rPr>
                <w:rFonts w:ascii="Arial" w:hAnsi="Arial" w:cs="Arial"/>
                <w:sz w:val="16"/>
                <w:szCs w:val="16"/>
              </w:rPr>
            </w:pPr>
          </w:p>
        </w:tc>
        <w:tc>
          <w:tcPr>
            <w:tcW w:w="850" w:type="dxa"/>
            <w:vAlign w:val="bottom"/>
          </w:tcPr>
          <w:p w14:paraId="1147E866"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0EAB4954" w14:textId="77777777" w:rsidR="005157FC" w:rsidRDefault="005157FC" w:rsidP="005157FC">
            <w:pPr>
              <w:jc w:val="right"/>
              <w:rPr>
                <w:rFonts w:ascii="Arial" w:hAnsi="Arial" w:cs="Arial"/>
                <w:sz w:val="16"/>
                <w:szCs w:val="16"/>
              </w:rPr>
            </w:pPr>
          </w:p>
        </w:tc>
        <w:tc>
          <w:tcPr>
            <w:tcW w:w="1032" w:type="dxa"/>
            <w:vAlign w:val="bottom"/>
          </w:tcPr>
          <w:p w14:paraId="5C28DECD"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26F83CA9" w14:textId="77777777" w:rsidR="005157FC" w:rsidRDefault="005157FC" w:rsidP="005157FC">
            <w:pPr>
              <w:jc w:val="right"/>
              <w:rPr>
                <w:rFonts w:ascii="Arial" w:hAnsi="Arial" w:cs="Arial"/>
                <w:sz w:val="16"/>
                <w:szCs w:val="16"/>
              </w:rPr>
            </w:pPr>
          </w:p>
        </w:tc>
        <w:tc>
          <w:tcPr>
            <w:tcW w:w="986" w:type="dxa"/>
            <w:vAlign w:val="bottom"/>
          </w:tcPr>
          <w:p w14:paraId="1C3BDF3C"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3FEFD158" w14:textId="72209799" w:rsidR="005157FC" w:rsidRDefault="005157FC" w:rsidP="005157FC">
            <w:pPr>
              <w:ind w:left="0"/>
              <w:jc w:val="right"/>
              <w:rPr>
                <w:rFonts w:ascii="Arial" w:hAnsi="Arial" w:cs="Arial"/>
                <w:sz w:val="16"/>
                <w:szCs w:val="16"/>
              </w:rPr>
            </w:pPr>
          </w:p>
        </w:tc>
        <w:tc>
          <w:tcPr>
            <w:tcW w:w="990" w:type="dxa"/>
            <w:vAlign w:val="bottom"/>
          </w:tcPr>
          <w:p w14:paraId="6E3F00EC" w14:textId="4A6A7BEA" w:rsidR="005157FC" w:rsidRPr="005157FC" w:rsidRDefault="005157FC" w:rsidP="005157FC">
            <w:pPr>
              <w:ind w:left="0"/>
              <w:jc w:val="right"/>
              <w:rPr>
                <w:sz w:val="20"/>
                <w:szCs w:val="20"/>
              </w:rPr>
            </w:pPr>
          </w:p>
        </w:tc>
      </w:tr>
      <w:tr w:rsidR="005157FC" w14:paraId="65330A2B" w14:textId="77777777" w:rsidTr="005157FC">
        <w:tc>
          <w:tcPr>
            <w:tcW w:w="1705" w:type="dxa"/>
            <w:vAlign w:val="bottom"/>
          </w:tcPr>
          <w:p w14:paraId="380DFFB7" w14:textId="77777777" w:rsidR="005157FC" w:rsidRDefault="005157FC" w:rsidP="005157FC">
            <w:pPr>
              <w:ind w:left="0"/>
              <w:rPr>
                <w:sz w:val="20"/>
                <w:szCs w:val="20"/>
              </w:rPr>
            </w:pPr>
            <w:r>
              <w:rPr>
                <w:sz w:val="20"/>
                <w:szCs w:val="20"/>
              </w:rPr>
              <w:t>3 - NWGF 95%</w:t>
            </w:r>
          </w:p>
        </w:tc>
        <w:tc>
          <w:tcPr>
            <w:tcW w:w="990" w:type="dxa"/>
            <w:vAlign w:val="bottom"/>
          </w:tcPr>
          <w:p w14:paraId="0C17F0E5" w14:textId="77777777" w:rsidR="005157FC" w:rsidRDefault="005157FC" w:rsidP="005157FC">
            <w:pPr>
              <w:jc w:val="right"/>
              <w:rPr>
                <w:rFonts w:ascii="Arial" w:hAnsi="Arial" w:cs="Arial"/>
                <w:sz w:val="16"/>
                <w:szCs w:val="16"/>
              </w:rPr>
            </w:pPr>
          </w:p>
        </w:tc>
        <w:tc>
          <w:tcPr>
            <w:tcW w:w="850" w:type="dxa"/>
            <w:vAlign w:val="bottom"/>
          </w:tcPr>
          <w:p w14:paraId="0D812A68"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2F448783" w14:textId="77777777" w:rsidR="005157FC" w:rsidRDefault="005157FC" w:rsidP="005157FC">
            <w:pPr>
              <w:jc w:val="right"/>
              <w:rPr>
                <w:rFonts w:ascii="Arial" w:hAnsi="Arial" w:cs="Arial"/>
                <w:sz w:val="16"/>
                <w:szCs w:val="16"/>
              </w:rPr>
            </w:pPr>
          </w:p>
        </w:tc>
        <w:tc>
          <w:tcPr>
            <w:tcW w:w="1032" w:type="dxa"/>
            <w:vAlign w:val="bottom"/>
          </w:tcPr>
          <w:p w14:paraId="730F7B1D"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33F2EF29" w14:textId="77777777" w:rsidR="005157FC" w:rsidRDefault="005157FC" w:rsidP="005157FC">
            <w:pPr>
              <w:jc w:val="right"/>
              <w:rPr>
                <w:rFonts w:ascii="Arial" w:hAnsi="Arial" w:cs="Arial"/>
                <w:sz w:val="16"/>
                <w:szCs w:val="16"/>
              </w:rPr>
            </w:pPr>
          </w:p>
        </w:tc>
        <w:tc>
          <w:tcPr>
            <w:tcW w:w="986" w:type="dxa"/>
            <w:vAlign w:val="bottom"/>
          </w:tcPr>
          <w:p w14:paraId="09CDD9D4"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392A5D01" w14:textId="1CA92489" w:rsidR="005157FC" w:rsidRDefault="005157FC" w:rsidP="005157FC">
            <w:pPr>
              <w:ind w:left="0"/>
              <w:jc w:val="right"/>
              <w:rPr>
                <w:rFonts w:ascii="Arial" w:hAnsi="Arial" w:cs="Arial"/>
                <w:sz w:val="16"/>
                <w:szCs w:val="16"/>
              </w:rPr>
            </w:pPr>
          </w:p>
        </w:tc>
        <w:tc>
          <w:tcPr>
            <w:tcW w:w="990" w:type="dxa"/>
            <w:vAlign w:val="bottom"/>
          </w:tcPr>
          <w:p w14:paraId="293EB1AD" w14:textId="6764AF62" w:rsidR="005157FC" w:rsidRPr="005157FC" w:rsidRDefault="005157FC" w:rsidP="005157FC">
            <w:pPr>
              <w:ind w:left="0"/>
              <w:jc w:val="right"/>
              <w:rPr>
                <w:sz w:val="20"/>
                <w:szCs w:val="20"/>
              </w:rPr>
            </w:pPr>
          </w:p>
        </w:tc>
      </w:tr>
      <w:tr w:rsidR="005157FC" w14:paraId="7981603E" w14:textId="77777777" w:rsidTr="005157FC">
        <w:tc>
          <w:tcPr>
            <w:tcW w:w="1705" w:type="dxa"/>
            <w:vAlign w:val="bottom"/>
          </w:tcPr>
          <w:p w14:paraId="721A0908" w14:textId="77777777" w:rsidR="005157FC" w:rsidRDefault="005157FC" w:rsidP="005157FC">
            <w:pPr>
              <w:ind w:left="0"/>
              <w:rPr>
                <w:sz w:val="20"/>
                <w:szCs w:val="20"/>
              </w:rPr>
            </w:pPr>
            <w:r>
              <w:rPr>
                <w:sz w:val="20"/>
                <w:szCs w:val="20"/>
              </w:rPr>
              <w:t>4 - NWGF 98%</w:t>
            </w:r>
          </w:p>
        </w:tc>
        <w:tc>
          <w:tcPr>
            <w:tcW w:w="990" w:type="dxa"/>
            <w:vAlign w:val="bottom"/>
          </w:tcPr>
          <w:p w14:paraId="6BD969F2" w14:textId="77777777" w:rsidR="005157FC" w:rsidRDefault="005157FC" w:rsidP="005157FC">
            <w:pPr>
              <w:jc w:val="right"/>
              <w:rPr>
                <w:rFonts w:ascii="Arial" w:hAnsi="Arial" w:cs="Arial"/>
                <w:sz w:val="16"/>
                <w:szCs w:val="16"/>
              </w:rPr>
            </w:pPr>
          </w:p>
        </w:tc>
        <w:tc>
          <w:tcPr>
            <w:tcW w:w="850" w:type="dxa"/>
            <w:vAlign w:val="bottom"/>
          </w:tcPr>
          <w:p w14:paraId="0EC25471"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502E1957" w14:textId="77777777" w:rsidR="005157FC" w:rsidRDefault="005157FC" w:rsidP="005157FC">
            <w:pPr>
              <w:jc w:val="right"/>
              <w:rPr>
                <w:rFonts w:ascii="Arial" w:hAnsi="Arial" w:cs="Arial"/>
                <w:sz w:val="16"/>
                <w:szCs w:val="16"/>
              </w:rPr>
            </w:pPr>
          </w:p>
        </w:tc>
        <w:tc>
          <w:tcPr>
            <w:tcW w:w="1032" w:type="dxa"/>
            <w:vAlign w:val="bottom"/>
          </w:tcPr>
          <w:p w14:paraId="138EF17B"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6DD2AB1C" w14:textId="77777777" w:rsidR="005157FC" w:rsidRDefault="005157FC" w:rsidP="005157FC">
            <w:pPr>
              <w:jc w:val="right"/>
              <w:rPr>
                <w:rFonts w:ascii="Arial" w:hAnsi="Arial" w:cs="Arial"/>
                <w:sz w:val="16"/>
                <w:szCs w:val="16"/>
              </w:rPr>
            </w:pPr>
          </w:p>
        </w:tc>
        <w:tc>
          <w:tcPr>
            <w:tcW w:w="986" w:type="dxa"/>
            <w:vAlign w:val="bottom"/>
          </w:tcPr>
          <w:p w14:paraId="45FB508D"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554E02F8" w14:textId="239EFACA" w:rsidR="005157FC" w:rsidRDefault="005157FC" w:rsidP="005157FC">
            <w:pPr>
              <w:ind w:left="0"/>
              <w:jc w:val="right"/>
              <w:rPr>
                <w:rFonts w:ascii="Arial" w:hAnsi="Arial" w:cs="Arial"/>
                <w:sz w:val="16"/>
                <w:szCs w:val="16"/>
              </w:rPr>
            </w:pPr>
          </w:p>
        </w:tc>
        <w:tc>
          <w:tcPr>
            <w:tcW w:w="990" w:type="dxa"/>
            <w:vAlign w:val="bottom"/>
          </w:tcPr>
          <w:p w14:paraId="2CD4C474" w14:textId="1FEB5EC2" w:rsidR="005157FC" w:rsidRPr="005157FC" w:rsidRDefault="005157FC" w:rsidP="005157FC">
            <w:pPr>
              <w:ind w:left="0"/>
              <w:jc w:val="right"/>
              <w:rPr>
                <w:sz w:val="20"/>
                <w:szCs w:val="20"/>
              </w:rPr>
            </w:pPr>
          </w:p>
        </w:tc>
      </w:tr>
    </w:tbl>
    <w:p w14:paraId="0629ED9D" w14:textId="77777777" w:rsidR="00EE677F" w:rsidRDefault="00EE677F"/>
    <w:p w14:paraId="118D4BB9" w14:textId="77777777" w:rsidR="00EE677F" w:rsidRDefault="00D135FE">
      <w:pPr>
        <w:rPr>
          <w:b/>
        </w:rPr>
      </w:pPr>
      <w:r>
        <w:rPr>
          <w:b/>
        </w:rPr>
        <w:t>With Learning Curve Effects</w:t>
      </w:r>
    </w:p>
    <w:tbl>
      <w:tblPr>
        <w:tblStyle w:val="TableGrid"/>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EE677F" w14:paraId="0067E02F" w14:textId="77777777">
        <w:tc>
          <w:tcPr>
            <w:tcW w:w="1705" w:type="dxa"/>
            <w:vMerge w:val="restart"/>
          </w:tcPr>
          <w:p w14:paraId="749EA7B5" w14:textId="77777777" w:rsidR="00EE677F" w:rsidRDefault="00D135FE">
            <w:pPr>
              <w:ind w:left="0"/>
              <w:rPr>
                <w:sz w:val="20"/>
                <w:szCs w:val="20"/>
              </w:rPr>
            </w:pPr>
            <w:r>
              <w:rPr>
                <w:sz w:val="20"/>
                <w:szCs w:val="20"/>
              </w:rPr>
              <w:t>NWGF Efficiency Level</w:t>
            </w:r>
          </w:p>
        </w:tc>
        <w:tc>
          <w:tcPr>
            <w:tcW w:w="1840" w:type="dxa"/>
            <w:gridSpan w:val="2"/>
          </w:tcPr>
          <w:p w14:paraId="0594D11B" w14:textId="77777777" w:rsidR="00EE677F" w:rsidRDefault="00D135FE">
            <w:pPr>
              <w:ind w:left="0"/>
              <w:jc w:val="center"/>
              <w:rPr>
                <w:sz w:val="20"/>
                <w:szCs w:val="20"/>
              </w:rPr>
            </w:pPr>
            <w:r>
              <w:rPr>
                <w:sz w:val="20"/>
                <w:szCs w:val="20"/>
              </w:rPr>
              <w:t>U.S.</w:t>
            </w:r>
          </w:p>
        </w:tc>
        <w:tc>
          <w:tcPr>
            <w:tcW w:w="2007" w:type="dxa"/>
            <w:gridSpan w:val="2"/>
          </w:tcPr>
          <w:p w14:paraId="3926A026" w14:textId="77777777" w:rsidR="00EE677F" w:rsidRDefault="00D135FE">
            <w:pPr>
              <w:ind w:left="0"/>
              <w:jc w:val="center"/>
              <w:rPr>
                <w:sz w:val="20"/>
                <w:szCs w:val="20"/>
              </w:rPr>
            </w:pPr>
            <w:r>
              <w:rPr>
                <w:sz w:val="20"/>
                <w:szCs w:val="20"/>
              </w:rPr>
              <w:t>Northern U.S.</w:t>
            </w:r>
          </w:p>
        </w:tc>
        <w:tc>
          <w:tcPr>
            <w:tcW w:w="0" w:type="auto"/>
            <w:gridSpan w:val="2"/>
          </w:tcPr>
          <w:p w14:paraId="19DA9325" w14:textId="77777777" w:rsidR="00EE677F" w:rsidRDefault="00D135FE">
            <w:pPr>
              <w:ind w:left="0"/>
              <w:jc w:val="center"/>
              <w:rPr>
                <w:sz w:val="20"/>
                <w:szCs w:val="20"/>
              </w:rPr>
            </w:pPr>
            <w:r>
              <w:rPr>
                <w:sz w:val="20"/>
                <w:szCs w:val="20"/>
              </w:rPr>
              <w:t>Southern U.S.</w:t>
            </w:r>
          </w:p>
        </w:tc>
        <w:tc>
          <w:tcPr>
            <w:tcW w:w="0" w:type="auto"/>
            <w:gridSpan w:val="2"/>
          </w:tcPr>
          <w:p w14:paraId="714BB4E6" w14:textId="62CBF8C6" w:rsidR="00EE677F" w:rsidRDefault="00D135FE">
            <w:pPr>
              <w:ind w:left="0"/>
              <w:jc w:val="center"/>
              <w:rPr>
                <w:sz w:val="20"/>
                <w:szCs w:val="20"/>
              </w:rPr>
            </w:pPr>
            <w:r>
              <w:rPr>
                <w:sz w:val="20"/>
                <w:szCs w:val="20"/>
              </w:rPr>
              <w:t>California</w:t>
            </w:r>
            <w:r w:rsidR="00524215">
              <w:rPr>
                <w:sz w:val="20"/>
                <w:szCs w:val="20"/>
              </w:rPr>
              <w:t xml:space="preserve"> Only</w:t>
            </w:r>
          </w:p>
        </w:tc>
      </w:tr>
      <w:tr w:rsidR="00EE677F" w14:paraId="5D69211C" w14:textId="77777777">
        <w:tc>
          <w:tcPr>
            <w:tcW w:w="1705" w:type="dxa"/>
            <w:vMerge/>
          </w:tcPr>
          <w:p w14:paraId="2C100BAB" w14:textId="77777777" w:rsidR="00EE677F" w:rsidRDefault="00EE677F">
            <w:pPr>
              <w:ind w:left="0"/>
              <w:rPr>
                <w:sz w:val="20"/>
                <w:szCs w:val="20"/>
              </w:rPr>
            </w:pPr>
          </w:p>
        </w:tc>
        <w:tc>
          <w:tcPr>
            <w:tcW w:w="990" w:type="dxa"/>
          </w:tcPr>
          <w:p w14:paraId="7E9C797C" w14:textId="77777777" w:rsidR="00EE677F" w:rsidRDefault="00D135FE">
            <w:pPr>
              <w:ind w:left="0"/>
              <w:jc w:val="center"/>
              <w:rPr>
                <w:sz w:val="20"/>
                <w:szCs w:val="20"/>
              </w:rPr>
            </w:pPr>
            <w:r>
              <w:rPr>
                <w:sz w:val="20"/>
                <w:szCs w:val="20"/>
              </w:rPr>
              <w:t>LCC</w:t>
            </w:r>
          </w:p>
        </w:tc>
        <w:tc>
          <w:tcPr>
            <w:tcW w:w="850" w:type="dxa"/>
          </w:tcPr>
          <w:p w14:paraId="53ED7485" w14:textId="77777777" w:rsidR="00EE677F" w:rsidRDefault="00D135FE">
            <w:pPr>
              <w:ind w:left="0"/>
              <w:jc w:val="center"/>
              <w:rPr>
                <w:sz w:val="20"/>
                <w:szCs w:val="20"/>
              </w:rPr>
            </w:pPr>
            <w:r>
              <w:rPr>
                <w:sz w:val="20"/>
                <w:szCs w:val="20"/>
              </w:rPr>
              <w:t>LCC Savings</w:t>
            </w:r>
          </w:p>
        </w:tc>
        <w:tc>
          <w:tcPr>
            <w:tcW w:w="975" w:type="dxa"/>
          </w:tcPr>
          <w:p w14:paraId="579BF080" w14:textId="77777777" w:rsidR="00EE677F" w:rsidRDefault="00D135FE">
            <w:pPr>
              <w:ind w:left="0"/>
              <w:jc w:val="center"/>
              <w:rPr>
                <w:sz w:val="20"/>
                <w:szCs w:val="20"/>
              </w:rPr>
            </w:pPr>
            <w:r>
              <w:rPr>
                <w:sz w:val="20"/>
                <w:szCs w:val="20"/>
              </w:rPr>
              <w:t>LCC</w:t>
            </w:r>
          </w:p>
        </w:tc>
        <w:tc>
          <w:tcPr>
            <w:tcW w:w="1032" w:type="dxa"/>
          </w:tcPr>
          <w:p w14:paraId="146644B5" w14:textId="77777777" w:rsidR="00EE677F" w:rsidRDefault="00D135FE">
            <w:pPr>
              <w:ind w:left="0"/>
              <w:jc w:val="center"/>
              <w:rPr>
                <w:sz w:val="20"/>
                <w:szCs w:val="20"/>
              </w:rPr>
            </w:pPr>
            <w:r>
              <w:rPr>
                <w:sz w:val="20"/>
                <w:szCs w:val="20"/>
              </w:rPr>
              <w:t>LCC Savings</w:t>
            </w:r>
          </w:p>
        </w:tc>
        <w:tc>
          <w:tcPr>
            <w:tcW w:w="908" w:type="dxa"/>
          </w:tcPr>
          <w:p w14:paraId="32667DF1" w14:textId="77777777" w:rsidR="00EE677F" w:rsidRDefault="00D135FE">
            <w:pPr>
              <w:ind w:left="0"/>
              <w:jc w:val="center"/>
              <w:rPr>
                <w:sz w:val="20"/>
                <w:szCs w:val="20"/>
              </w:rPr>
            </w:pPr>
            <w:r>
              <w:rPr>
                <w:sz w:val="20"/>
                <w:szCs w:val="20"/>
              </w:rPr>
              <w:t>LCC</w:t>
            </w:r>
          </w:p>
        </w:tc>
        <w:tc>
          <w:tcPr>
            <w:tcW w:w="986" w:type="dxa"/>
          </w:tcPr>
          <w:p w14:paraId="20FA4425" w14:textId="77777777" w:rsidR="00EE677F" w:rsidRDefault="00D135FE">
            <w:pPr>
              <w:ind w:left="0"/>
              <w:jc w:val="center"/>
              <w:rPr>
                <w:sz w:val="20"/>
                <w:szCs w:val="20"/>
              </w:rPr>
            </w:pPr>
            <w:r>
              <w:rPr>
                <w:sz w:val="20"/>
                <w:szCs w:val="20"/>
              </w:rPr>
              <w:t>LCC Savings</w:t>
            </w:r>
          </w:p>
        </w:tc>
        <w:tc>
          <w:tcPr>
            <w:tcW w:w="904" w:type="dxa"/>
          </w:tcPr>
          <w:p w14:paraId="3C14FEC2" w14:textId="77777777" w:rsidR="00EE677F" w:rsidRDefault="00D135FE">
            <w:pPr>
              <w:ind w:left="0"/>
              <w:jc w:val="center"/>
              <w:rPr>
                <w:sz w:val="20"/>
                <w:szCs w:val="20"/>
              </w:rPr>
            </w:pPr>
            <w:r>
              <w:rPr>
                <w:sz w:val="20"/>
                <w:szCs w:val="20"/>
              </w:rPr>
              <w:t>LCC</w:t>
            </w:r>
          </w:p>
        </w:tc>
        <w:tc>
          <w:tcPr>
            <w:tcW w:w="990" w:type="dxa"/>
          </w:tcPr>
          <w:p w14:paraId="0C7E1E9D" w14:textId="77777777" w:rsidR="00EE677F" w:rsidRDefault="00D135FE">
            <w:pPr>
              <w:ind w:left="0"/>
              <w:jc w:val="center"/>
              <w:rPr>
                <w:sz w:val="20"/>
                <w:szCs w:val="20"/>
              </w:rPr>
            </w:pPr>
            <w:r>
              <w:rPr>
                <w:sz w:val="20"/>
                <w:szCs w:val="20"/>
              </w:rPr>
              <w:t>LCC Savings</w:t>
            </w:r>
          </w:p>
        </w:tc>
      </w:tr>
      <w:tr w:rsidR="00EE677F" w14:paraId="3042705B" w14:textId="77777777">
        <w:tc>
          <w:tcPr>
            <w:tcW w:w="1705" w:type="dxa"/>
            <w:vAlign w:val="bottom"/>
          </w:tcPr>
          <w:p w14:paraId="2528123B" w14:textId="77777777" w:rsidR="00EE677F" w:rsidRDefault="00D135FE">
            <w:pPr>
              <w:ind w:left="0"/>
              <w:rPr>
                <w:sz w:val="20"/>
                <w:szCs w:val="20"/>
              </w:rPr>
            </w:pPr>
            <w:r>
              <w:rPr>
                <w:sz w:val="20"/>
                <w:szCs w:val="20"/>
              </w:rPr>
              <w:t>0 - NWGF 80%</w:t>
            </w:r>
          </w:p>
        </w:tc>
        <w:tc>
          <w:tcPr>
            <w:tcW w:w="990" w:type="dxa"/>
            <w:vAlign w:val="bottom"/>
          </w:tcPr>
          <w:p w14:paraId="0D5019DC" w14:textId="77777777" w:rsidR="00EE677F" w:rsidRDefault="00EE677F">
            <w:pPr>
              <w:jc w:val="right"/>
              <w:rPr>
                <w:rFonts w:ascii="Arial" w:hAnsi="Arial" w:cs="Arial"/>
                <w:sz w:val="16"/>
                <w:szCs w:val="16"/>
              </w:rPr>
            </w:pPr>
          </w:p>
        </w:tc>
        <w:tc>
          <w:tcPr>
            <w:tcW w:w="850" w:type="dxa"/>
            <w:vAlign w:val="bottom"/>
          </w:tcPr>
          <w:p w14:paraId="54FCB7C8" w14:textId="77777777" w:rsidR="00EE677F" w:rsidRDefault="00EE677F">
            <w:pPr>
              <w:jc w:val="center"/>
              <w:rPr>
                <w:rFonts w:ascii="Arial" w:hAnsi="Arial" w:cs="Arial"/>
                <w:sz w:val="16"/>
                <w:szCs w:val="16"/>
              </w:rPr>
            </w:pPr>
          </w:p>
        </w:tc>
        <w:tc>
          <w:tcPr>
            <w:tcW w:w="975" w:type="dxa"/>
            <w:vAlign w:val="bottom"/>
          </w:tcPr>
          <w:p w14:paraId="7E234998" w14:textId="77777777" w:rsidR="00EE677F" w:rsidRDefault="00EE677F">
            <w:pPr>
              <w:jc w:val="right"/>
              <w:rPr>
                <w:rFonts w:ascii="Arial" w:hAnsi="Arial" w:cs="Arial"/>
                <w:sz w:val="16"/>
                <w:szCs w:val="16"/>
              </w:rPr>
            </w:pPr>
          </w:p>
        </w:tc>
        <w:tc>
          <w:tcPr>
            <w:tcW w:w="1032" w:type="dxa"/>
            <w:vAlign w:val="bottom"/>
          </w:tcPr>
          <w:p w14:paraId="2ACB5989" w14:textId="77777777" w:rsidR="00EE677F" w:rsidRDefault="00EE677F">
            <w:pPr>
              <w:jc w:val="center"/>
              <w:rPr>
                <w:rFonts w:ascii="Arial" w:hAnsi="Arial" w:cs="Arial"/>
                <w:sz w:val="16"/>
                <w:szCs w:val="16"/>
              </w:rPr>
            </w:pPr>
          </w:p>
        </w:tc>
        <w:tc>
          <w:tcPr>
            <w:tcW w:w="908" w:type="dxa"/>
            <w:vAlign w:val="bottom"/>
          </w:tcPr>
          <w:p w14:paraId="5636A66C" w14:textId="77777777" w:rsidR="00EE677F" w:rsidRDefault="00EE677F">
            <w:pPr>
              <w:jc w:val="right"/>
              <w:rPr>
                <w:rFonts w:ascii="Arial" w:hAnsi="Arial" w:cs="Arial"/>
                <w:sz w:val="16"/>
                <w:szCs w:val="16"/>
              </w:rPr>
            </w:pPr>
          </w:p>
        </w:tc>
        <w:tc>
          <w:tcPr>
            <w:tcW w:w="986" w:type="dxa"/>
            <w:vAlign w:val="bottom"/>
          </w:tcPr>
          <w:p w14:paraId="099B6C48" w14:textId="77777777" w:rsidR="00EE677F" w:rsidRDefault="00EE677F">
            <w:pPr>
              <w:jc w:val="center"/>
              <w:rPr>
                <w:rFonts w:ascii="Arial" w:hAnsi="Arial" w:cs="Arial"/>
                <w:sz w:val="16"/>
                <w:szCs w:val="16"/>
              </w:rPr>
            </w:pPr>
          </w:p>
        </w:tc>
        <w:tc>
          <w:tcPr>
            <w:tcW w:w="904" w:type="dxa"/>
            <w:vAlign w:val="bottom"/>
          </w:tcPr>
          <w:p w14:paraId="2A95C0FA" w14:textId="3B50D9CE" w:rsidR="00EE677F" w:rsidRDefault="00EE677F">
            <w:pPr>
              <w:jc w:val="right"/>
              <w:rPr>
                <w:rFonts w:ascii="Arial" w:hAnsi="Arial" w:cs="Arial"/>
                <w:sz w:val="16"/>
                <w:szCs w:val="16"/>
              </w:rPr>
            </w:pPr>
          </w:p>
        </w:tc>
        <w:tc>
          <w:tcPr>
            <w:tcW w:w="990" w:type="dxa"/>
            <w:vAlign w:val="bottom"/>
          </w:tcPr>
          <w:p w14:paraId="4E1900D9" w14:textId="2507E7B5" w:rsidR="00EE677F" w:rsidRDefault="00EE677F">
            <w:pPr>
              <w:jc w:val="center"/>
              <w:rPr>
                <w:rFonts w:ascii="Arial" w:hAnsi="Arial" w:cs="Arial"/>
                <w:sz w:val="16"/>
                <w:szCs w:val="16"/>
              </w:rPr>
            </w:pPr>
          </w:p>
        </w:tc>
      </w:tr>
      <w:tr w:rsidR="00EE677F" w14:paraId="46D7BE29" w14:textId="77777777">
        <w:tc>
          <w:tcPr>
            <w:tcW w:w="1705" w:type="dxa"/>
            <w:vAlign w:val="bottom"/>
          </w:tcPr>
          <w:p w14:paraId="7FDD1FA2" w14:textId="77777777" w:rsidR="00EE677F" w:rsidRDefault="00D135FE">
            <w:pPr>
              <w:ind w:left="0"/>
              <w:rPr>
                <w:sz w:val="20"/>
                <w:szCs w:val="20"/>
              </w:rPr>
            </w:pPr>
            <w:r>
              <w:rPr>
                <w:sz w:val="20"/>
                <w:szCs w:val="20"/>
              </w:rPr>
              <w:t>1 - NWGF 90%</w:t>
            </w:r>
          </w:p>
        </w:tc>
        <w:tc>
          <w:tcPr>
            <w:tcW w:w="990" w:type="dxa"/>
            <w:vAlign w:val="bottom"/>
          </w:tcPr>
          <w:p w14:paraId="61137C1E" w14:textId="77777777" w:rsidR="00EE677F" w:rsidRDefault="00EE677F">
            <w:pPr>
              <w:jc w:val="right"/>
              <w:rPr>
                <w:rFonts w:ascii="Arial" w:hAnsi="Arial" w:cs="Arial"/>
                <w:sz w:val="16"/>
                <w:szCs w:val="16"/>
              </w:rPr>
            </w:pPr>
          </w:p>
        </w:tc>
        <w:tc>
          <w:tcPr>
            <w:tcW w:w="850" w:type="dxa"/>
            <w:vAlign w:val="bottom"/>
          </w:tcPr>
          <w:p w14:paraId="438D64E3" w14:textId="77777777" w:rsidR="00EE677F" w:rsidRDefault="00EE677F">
            <w:pPr>
              <w:ind w:firstLineChars="100" w:firstLine="160"/>
              <w:jc w:val="right"/>
              <w:rPr>
                <w:rFonts w:ascii="Arial" w:hAnsi="Arial" w:cs="Arial"/>
                <w:sz w:val="16"/>
                <w:szCs w:val="16"/>
              </w:rPr>
            </w:pPr>
          </w:p>
        </w:tc>
        <w:tc>
          <w:tcPr>
            <w:tcW w:w="975" w:type="dxa"/>
            <w:vAlign w:val="bottom"/>
          </w:tcPr>
          <w:p w14:paraId="22643813" w14:textId="77777777" w:rsidR="00EE677F" w:rsidRDefault="00EE677F">
            <w:pPr>
              <w:jc w:val="right"/>
              <w:rPr>
                <w:rFonts w:ascii="Arial" w:hAnsi="Arial" w:cs="Arial"/>
                <w:sz w:val="16"/>
                <w:szCs w:val="16"/>
              </w:rPr>
            </w:pPr>
          </w:p>
        </w:tc>
        <w:tc>
          <w:tcPr>
            <w:tcW w:w="1032" w:type="dxa"/>
            <w:vAlign w:val="bottom"/>
          </w:tcPr>
          <w:p w14:paraId="79C8020C" w14:textId="77777777" w:rsidR="00EE677F" w:rsidRDefault="00EE677F">
            <w:pPr>
              <w:ind w:firstLineChars="100" w:firstLine="160"/>
              <w:jc w:val="right"/>
              <w:rPr>
                <w:rFonts w:ascii="Arial" w:hAnsi="Arial" w:cs="Arial"/>
                <w:sz w:val="16"/>
                <w:szCs w:val="16"/>
              </w:rPr>
            </w:pPr>
          </w:p>
        </w:tc>
        <w:tc>
          <w:tcPr>
            <w:tcW w:w="908" w:type="dxa"/>
            <w:vAlign w:val="bottom"/>
          </w:tcPr>
          <w:p w14:paraId="09037BB3" w14:textId="77777777" w:rsidR="00EE677F" w:rsidRDefault="00EE677F">
            <w:pPr>
              <w:jc w:val="right"/>
              <w:rPr>
                <w:rFonts w:ascii="Arial" w:hAnsi="Arial" w:cs="Arial"/>
                <w:sz w:val="16"/>
                <w:szCs w:val="16"/>
              </w:rPr>
            </w:pPr>
          </w:p>
        </w:tc>
        <w:tc>
          <w:tcPr>
            <w:tcW w:w="986" w:type="dxa"/>
            <w:vAlign w:val="bottom"/>
          </w:tcPr>
          <w:p w14:paraId="65AD46E2" w14:textId="77777777" w:rsidR="00EE677F" w:rsidRDefault="00EE677F">
            <w:pPr>
              <w:ind w:firstLineChars="100" w:firstLine="160"/>
              <w:jc w:val="right"/>
              <w:rPr>
                <w:rFonts w:ascii="Arial" w:hAnsi="Arial" w:cs="Arial"/>
                <w:sz w:val="16"/>
                <w:szCs w:val="16"/>
              </w:rPr>
            </w:pPr>
          </w:p>
        </w:tc>
        <w:tc>
          <w:tcPr>
            <w:tcW w:w="904" w:type="dxa"/>
            <w:vAlign w:val="bottom"/>
          </w:tcPr>
          <w:p w14:paraId="43854988" w14:textId="1EE8AFF7" w:rsidR="00EE677F" w:rsidRDefault="00EE677F">
            <w:pPr>
              <w:jc w:val="right"/>
              <w:rPr>
                <w:rFonts w:ascii="Arial" w:hAnsi="Arial" w:cs="Arial"/>
                <w:sz w:val="16"/>
                <w:szCs w:val="16"/>
              </w:rPr>
            </w:pPr>
          </w:p>
        </w:tc>
        <w:tc>
          <w:tcPr>
            <w:tcW w:w="990" w:type="dxa"/>
            <w:vAlign w:val="bottom"/>
          </w:tcPr>
          <w:p w14:paraId="6B62C2CA" w14:textId="27C07F84" w:rsidR="00EE677F" w:rsidRDefault="00EE677F">
            <w:pPr>
              <w:ind w:firstLineChars="100" w:firstLine="160"/>
              <w:jc w:val="right"/>
              <w:rPr>
                <w:rFonts w:ascii="Arial" w:hAnsi="Arial" w:cs="Arial"/>
                <w:sz w:val="16"/>
                <w:szCs w:val="16"/>
              </w:rPr>
            </w:pPr>
          </w:p>
        </w:tc>
      </w:tr>
      <w:tr w:rsidR="00EE677F" w14:paraId="0BBD690D" w14:textId="77777777">
        <w:tc>
          <w:tcPr>
            <w:tcW w:w="1705" w:type="dxa"/>
            <w:vAlign w:val="bottom"/>
          </w:tcPr>
          <w:p w14:paraId="5DA7119F" w14:textId="77777777" w:rsidR="00EE677F" w:rsidRDefault="00D135FE">
            <w:pPr>
              <w:ind w:left="0"/>
              <w:rPr>
                <w:sz w:val="20"/>
                <w:szCs w:val="20"/>
              </w:rPr>
            </w:pPr>
            <w:r>
              <w:rPr>
                <w:sz w:val="20"/>
                <w:szCs w:val="20"/>
              </w:rPr>
              <w:t>2 - NWGF 92%</w:t>
            </w:r>
          </w:p>
        </w:tc>
        <w:tc>
          <w:tcPr>
            <w:tcW w:w="990" w:type="dxa"/>
            <w:vAlign w:val="bottom"/>
          </w:tcPr>
          <w:p w14:paraId="6D5BDBB9" w14:textId="77777777" w:rsidR="00EE677F" w:rsidRDefault="00EE677F">
            <w:pPr>
              <w:jc w:val="right"/>
              <w:rPr>
                <w:rFonts w:ascii="Arial" w:hAnsi="Arial" w:cs="Arial"/>
                <w:sz w:val="16"/>
                <w:szCs w:val="16"/>
              </w:rPr>
            </w:pPr>
          </w:p>
        </w:tc>
        <w:tc>
          <w:tcPr>
            <w:tcW w:w="850" w:type="dxa"/>
            <w:vAlign w:val="bottom"/>
          </w:tcPr>
          <w:p w14:paraId="780935AD" w14:textId="77777777" w:rsidR="00EE677F" w:rsidRDefault="00EE677F">
            <w:pPr>
              <w:ind w:firstLineChars="100" w:firstLine="160"/>
              <w:jc w:val="right"/>
              <w:rPr>
                <w:rFonts w:ascii="Arial" w:hAnsi="Arial" w:cs="Arial"/>
                <w:sz w:val="16"/>
                <w:szCs w:val="16"/>
              </w:rPr>
            </w:pPr>
          </w:p>
        </w:tc>
        <w:tc>
          <w:tcPr>
            <w:tcW w:w="975" w:type="dxa"/>
            <w:vAlign w:val="bottom"/>
          </w:tcPr>
          <w:p w14:paraId="145D163A" w14:textId="77777777" w:rsidR="00EE677F" w:rsidRDefault="00EE677F">
            <w:pPr>
              <w:jc w:val="right"/>
              <w:rPr>
                <w:rFonts w:ascii="Arial" w:hAnsi="Arial" w:cs="Arial"/>
                <w:sz w:val="16"/>
                <w:szCs w:val="16"/>
              </w:rPr>
            </w:pPr>
          </w:p>
        </w:tc>
        <w:tc>
          <w:tcPr>
            <w:tcW w:w="1032" w:type="dxa"/>
            <w:vAlign w:val="bottom"/>
          </w:tcPr>
          <w:p w14:paraId="522A6398" w14:textId="77777777" w:rsidR="00EE677F" w:rsidRDefault="00EE677F">
            <w:pPr>
              <w:ind w:firstLineChars="100" w:firstLine="160"/>
              <w:jc w:val="right"/>
              <w:rPr>
                <w:rFonts w:ascii="Arial" w:hAnsi="Arial" w:cs="Arial"/>
                <w:sz w:val="16"/>
                <w:szCs w:val="16"/>
              </w:rPr>
            </w:pPr>
          </w:p>
        </w:tc>
        <w:tc>
          <w:tcPr>
            <w:tcW w:w="908" w:type="dxa"/>
            <w:vAlign w:val="bottom"/>
          </w:tcPr>
          <w:p w14:paraId="3F3BA4B9" w14:textId="77777777" w:rsidR="00EE677F" w:rsidRDefault="00EE677F">
            <w:pPr>
              <w:jc w:val="right"/>
              <w:rPr>
                <w:rFonts w:ascii="Arial" w:hAnsi="Arial" w:cs="Arial"/>
                <w:sz w:val="16"/>
                <w:szCs w:val="16"/>
              </w:rPr>
            </w:pPr>
          </w:p>
        </w:tc>
        <w:tc>
          <w:tcPr>
            <w:tcW w:w="986" w:type="dxa"/>
            <w:vAlign w:val="bottom"/>
          </w:tcPr>
          <w:p w14:paraId="6E2B1343" w14:textId="77777777" w:rsidR="00EE677F" w:rsidRDefault="00EE677F">
            <w:pPr>
              <w:ind w:firstLineChars="100" w:firstLine="160"/>
              <w:jc w:val="right"/>
              <w:rPr>
                <w:rFonts w:ascii="Arial" w:hAnsi="Arial" w:cs="Arial"/>
                <w:sz w:val="16"/>
                <w:szCs w:val="16"/>
              </w:rPr>
            </w:pPr>
          </w:p>
        </w:tc>
        <w:tc>
          <w:tcPr>
            <w:tcW w:w="904" w:type="dxa"/>
            <w:vAlign w:val="bottom"/>
          </w:tcPr>
          <w:p w14:paraId="058EEB2D" w14:textId="7DDEF1A7" w:rsidR="00EE677F" w:rsidRDefault="00EE677F">
            <w:pPr>
              <w:jc w:val="right"/>
              <w:rPr>
                <w:rFonts w:ascii="Arial" w:hAnsi="Arial" w:cs="Arial"/>
                <w:sz w:val="16"/>
                <w:szCs w:val="16"/>
              </w:rPr>
            </w:pPr>
          </w:p>
        </w:tc>
        <w:tc>
          <w:tcPr>
            <w:tcW w:w="990" w:type="dxa"/>
            <w:vAlign w:val="bottom"/>
          </w:tcPr>
          <w:p w14:paraId="56E0DE4F" w14:textId="5FB3555E" w:rsidR="00EE677F" w:rsidRDefault="00EE677F">
            <w:pPr>
              <w:ind w:firstLineChars="100" w:firstLine="160"/>
              <w:jc w:val="right"/>
              <w:rPr>
                <w:rFonts w:ascii="Arial" w:hAnsi="Arial" w:cs="Arial"/>
                <w:sz w:val="16"/>
                <w:szCs w:val="16"/>
              </w:rPr>
            </w:pPr>
          </w:p>
        </w:tc>
      </w:tr>
      <w:tr w:rsidR="00EE677F" w14:paraId="0B050B2B" w14:textId="77777777">
        <w:tc>
          <w:tcPr>
            <w:tcW w:w="1705" w:type="dxa"/>
            <w:vAlign w:val="bottom"/>
          </w:tcPr>
          <w:p w14:paraId="7C73BDDC" w14:textId="77777777" w:rsidR="00EE677F" w:rsidRDefault="00D135FE">
            <w:pPr>
              <w:ind w:left="0"/>
              <w:rPr>
                <w:sz w:val="20"/>
                <w:szCs w:val="20"/>
              </w:rPr>
            </w:pPr>
            <w:r>
              <w:rPr>
                <w:sz w:val="20"/>
                <w:szCs w:val="20"/>
              </w:rPr>
              <w:t>3 - NWGF 95%</w:t>
            </w:r>
          </w:p>
        </w:tc>
        <w:tc>
          <w:tcPr>
            <w:tcW w:w="990" w:type="dxa"/>
            <w:vAlign w:val="bottom"/>
          </w:tcPr>
          <w:p w14:paraId="7F478C37" w14:textId="77777777" w:rsidR="00EE677F" w:rsidRDefault="00EE677F">
            <w:pPr>
              <w:jc w:val="right"/>
              <w:rPr>
                <w:rFonts w:ascii="Arial" w:hAnsi="Arial" w:cs="Arial"/>
                <w:sz w:val="16"/>
                <w:szCs w:val="16"/>
              </w:rPr>
            </w:pPr>
          </w:p>
        </w:tc>
        <w:tc>
          <w:tcPr>
            <w:tcW w:w="850" w:type="dxa"/>
            <w:vAlign w:val="bottom"/>
          </w:tcPr>
          <w:p w14:paraId="76DB1E60" w14:textId="77777777" w:rsidR="00EE677F" w:rsidRDefault="00EE677F">
            <w:pPr>
              <w:ind w:firstLineChars="100" w:firstLine="160"/>
              <w:jc w:val="right"/>
              <w:rPr>
                <w:rFonts w:ascii="Arial" w:hAnsi="Arial" w:cs="Arial"/>
                <w:sz w:val="16"/>
                <w:szCs w:val="16"/>
              </w:rPr>
            </w:pPr>
          </w:p>
        </w:tc>
        <w:tc>
          <w:tcPr>
            <w:tcW w:w="975" w:type="dxa"/>
            <w:vAlign w:val="bottom"/>
          </w:tcPr>
          <w:p w14:paraId="4F294794" w14:textId="77777777" w:rsidR="00EE677F" w:rsidRDefault="00EE677F">
            <w:pPr>
              <w:jc w:val="right"/>
              <w:rPr>
                <w:rFonts w:ascii="Arial" w:hAnsi="Arial" w:cs="Arial"/>
                <w:sz w:val="16"/>
                <w:szCs w:val="16"/>
              </w:rPr>
            </w:pPr>
          </w:p>
        </w:tc>
        <w:tc>
          <w:tcPr>
            <w:tcW w:w="1032" w:type="dxa"/>
            <w:vAlign w:val="bottom"/>
          </w:tcPr>
          <w:p w14:paraId="7DABD898" w14:textId="77777777" w:rsidR="00EE677F" w:rsidRDefault="00EE677F">
            <w:pPr>
              <w:ind w:firstLineChars="100" w:firstLine="160"/>
              <w:jc w:val="right"/>
              <w:rPr>
                <w:rFonts w:ascii="Arial" w:hAnsi="Arial" w:cs="Arial"/>
                <w:sz w:val="16"/>
                <w:szCs w:val="16"/>
              </w:rPr>
            </w:pPr>
          </w:p>
        </w:tc>
        <w:tc>
          <w:tcPr>
            <w:tcW w:w="908" w:type="dxa"/>
            <w:vAlign w:val="bottom"/>
          </w:tcPr>
          <w:p w14:paraId="44A14BA2" w14:textId="77777777" w:rsidR="00EE677F" w:rsidRDefault="00EE677F">
            <w:pPr>
              <w:jc w:val="right"/>
              <w:rPr>
                <w:rFonts w:ascii="Arial" w:hAnsi="Arial" w:cs="Arial"/>
                <w:sz w:val="16"/>
                <w:szCs w:val="16"/>
              </w:rPr>
            </w:pPr>
          </w:p>
        </w:tc>
        <w:tc>
          <w:tcPr>
            <w:tcW w:w="986" w:type="dxa"/>
            <w:vAlign w:val="bottom"/>
          </w:tcPr>
          <w:p w14:paraId="7ADF6EF9" w14:textId="77777777" w:rsidR="00EE677F" w:rsidRDefault="00EE677F">
            <w:pPr>
              <w:ind w:firstLineChars="100" w:firstLine="160"/>
              <w:jc w:val="right"/>
              <w:rPr>
                <w:rFonts w:ascii="Arial" w:hAnsi="Arial" w:cs="Arial"/>
                <w:sz w:val="16"/>
                <w:szCs w:val="16"/>
              </w:rPr>
            </w:pPr>
          </w:p>
        </w:tc>
        <w:tc>
          <w:tcPr>
            <w:tcW w:w="904" w:type="dxa"/>
            <w:vAlign w:val="bottom"/>
          </w:tcPr>
          <w:p w14:paraId="68B14097" w14:textId="57C0C4FF" w:rsidR="00EE677F" w:rsidRDefault="00EE677F">
            <w:pPr>
              <w:jc w:val="right"/>
              <w:rPr>
                <w:rFonts w:ascii="Arial" w:hAnsi="Arial" w:cs="Arial"/>
                <w:sz w:val="16"/>
                <w:szCs w:val="16"/>
              </w:rPr>
            </w:pPr>
          </w:p>
        </w:tc>
        <w:tc>
          <w:tcPr>
            <w:tcW w:w="990" w:type="dxa"/>
            <w:vAlign w:val="bottom"/>
          </w:tcPr>
          <w:p w14:paraId="7307BDB0" w14:textId="6CE99332" w:rsidR="00EE677F" w:rsidRDefault="00EE677F">
            <w:pPr>
              <w:ind w:firstLineChars="100" w:firstLine="160"/>
              <w:jc w:val="right"/>
              <w:rPr>
                <w:rFonts w:ascii="Arial" w:hAnsi="Arial" w:cs="Arial"/>
                <w:sz w:val="16"/>
                <w:szCs w:val="16"/>
              </w:rPr>
            </w:pPr>
          </w:p>
        </w:tc>
      </w:tr>
      <w:tr w:rsidR="00EE677F" w14:paraId="43840A17" w14:textId="77777777">
        <w:tc>
          <w:tcPr>
            <w:tcW w:w="1705" w:type="dxa"/>
            <w:vAlign w:val="bottom"/>
          </w:tcPr>
          <w:p w14:paraId="5B8A1868" w14:textId="77777777" w:rsidR="00EE677F" w:rsidRDefault="00D135FE">
            <w:pPr>
              <w:ind w:left="0"/>
              <w:rPr>
                <w:sz w:val="20"/>
                <w:szCs w:val="20"/>
              </w:rPr>
            </w:pPr>
            <w:r>
              <w:rPr>
                <w:sz w:val="20"/>
                <w:szCs w:val="20"/>
              </w:rPr>
              <w:t>4 - NWGF 98%</w:t>
            </w:r>
          </w:p>
        </w:tc>
        <w:tc>
          <w:tcPr>
            <w:tcW w:w="990" w:type="dxa"/>
            <w:vAlign w:val="bottom"/>
          </w:tcPr>
          <w:p w14:paraId="5BD738ED" w14:textId="77777777" w:rsidR="00EE677F" w:rsidRDefault="00EE677F">
            <w:pPr>
              <w:jc w:val="right"/>
              <w:rPr>
                <w:rFonts w:ascii="Arial" w:hAnsi="Arial" w:cs="Arial"/>
                <w:sz w:val="16"/>
                <w:szCs w:val="16"/>
              </w:rPr>
            </w:pPr>
          </w:p>
        </w:tc>
        <w:tc>
          <w:tcPr>
            <w:tcW w:w="850" w:type="dxa"/>
            <w:vAlign w:val="bottom"/>
          </w:tcPr>
          <w:p w14:paraId="6AAFD28F" w14:textId="77777777" w:rsidR="00EE677F" w:rsidRDefault="00EE677F">
            <w:pPr>
              <w:ind w:firstLineChars="100" w:firstLine="160"/>
              <w:jc w:val="right"/>
              <w:rPr>
                <w:rFonts w:ascii="Arial" w:hAnsi="Arial" w:cs="Arial"/>
                <w:sz w:val="16"/>
                <w:szCs w:val="16"/>
              </w:rPr>
            </w:pPr>
          </w:p>
        </w:tc>
        <w:tc>
          <w:tcPr>
            <w:tcW w:w="975" w:type="dxa"/>
            <w:vAlign w:val="bottom"/>
          </w:tcPr>
          <w:p w14:paraId="762D9874" w14:textId="77777777" w:rsidR="00EE677F" w:rsidRDefault="00EE677F">
            <w:pPr>
              <w:jc w:val="right"/>
              <w:rPr>
                <w:rFonts w:ascii="Arial" w:hAnsi="Arial" w:cs="Arial"/>
                <w:sz w:val="16"/>
                <w:szCs w:val="16"/>
              </w:rPr>
            </w:pPr>
          </w:p>
        </w:tc>
        <w:tc>
          <w:tcPr>
            <w:tcW w:w="1032" w:type="dxa"/>
            <w:vAlign w:val="bottom"/>
          </w:tcPr>
          <w:p w14:paraId="4E3E988B" w14:textId="77777777" w:rsidR="00EE677F" w:rsidRDefault="00EE677F">
            <w:pPr>
              <w:ind w:firstLineChars="100" w:firstLine="160"/>
              <w:jc w:val="right"/>
              <w:rPr>
                <w:rFonts w:ascii="Arial" w:hAnsi="Arial" w:cs="Arial"/>
                <w:sz w:val="16"/>
                <w:szCs w:val="16"/>
              </w:rPr>
            </w:pPr>
          </w:p>
        </w:tc>
        <w:tc>
          <w:tcPr>
            <w:tcW w:w="908" w:type="dxa"/>
            <w:vAlign w:val="bottom"/>
          </w:tcPr>
          <w:p w14:paraId="526EF6D2" w14:textId="77777777" w:rsidR="00EE677F" w:rsidRDefault="00EE677F">
            <w:pPr>
              <w:jc w:val="right"/>
              <w:rPr>
                <w:rFonts w:ascii="Arial" w:hAnsi="Arial" w:cs="Arial"/>
                <w:sz w:val="16"/>
                <w:szCs w:val="16"/>
              </w:rPr>
            </w:pPr>
          </w:p>
        </w:tc>
        <w:tc>
          <w:tcPr>
            <w:tcW w:w="986" w:type="dxa"/>
            <w:vAlign w:val="bottom"/>
          </w:tcPr>
          <w:p w14:paraId="05FFA677" w14:textId="77777777" w:rsidR="00EE677F" w:rsidRDefault="00EE677F">
            <w:pPr>
              <w:ind w:firstLineChars="100" w:firstLine="160"/>
              <w:jc w:val="right"/>
              <w:rPr>
                <w:rFonts w:ascii="Arial" w:hAnsi="Arial" w:cs="Arial"/>
                <w:sz w:val="16"/>
                <w:szCs w:val="16"/>
              </w:rPr>
            </w:pPr>
          </w:p>
        </w:tc>
        <w:tc>
          <w:tcPr>
            <w:tcW w:w="904" w:type="dxa"/>
            <w:vAlign w:val="bottom"/>
          </w:tcPr>
          <w:p w14:paraId="3BA1E458" w14:textId="05F138C9" w:rsidR="00EE677F" w:rsidRDefault="00EE677F">
            <w:pPr>
              <w:jc w:val="right"/>
              <w:rPr>
                <w:rFonts w:ascii="Arial" w:hAnsi="Arial" w:cs="Arial"/>
                <w:sz w:val="16"/>
                <w:szCs w:val="16"/>
              </w:rPr>
            </w:pPr>
          </w:p>
        </w:tc>
        <w:tc>
          <w:tcPr>
            <w:tcW w:w="990" w:type="dxa"/>
            <w:vAlign w:val="bottom"/>
          </w:tcPr>
          <w:p w14:paraId="4CC1D7E3" w14:textId="195250C4" w:rsidR="00EE677F" w:rsidRDefault="00EE677F">
            <w:pPr>
              <w:ind w:firstLineChars="100" w:firstLine="160"/>
              <w:jc w:val="right"/>
              <w:rPr>
                <w:rFonts w:ascii="Arial" w:hAnsi="Arial" w:cs="Arial"/>
                <w:sz w:val="16"/>
                <w:szCs w:val="16"/>
              </w:rPr>
            </w:pPr>
          </w:p>
        </w:tc>
      </w:tr>
    </w:tbl>
    <w:p w14:paraId="4C5088A0" w14:textId="77777777" w:rsidR="00EE677F" w:rsidRDefault="00EE677F"/>
    <w:p w14:paraId="4896378B" w14:textId="77777777" w:rsidR="00EE677F" w:rsidRDefault="00D135FE">
      <w:pPr>
        <w:rPr>
          <w:b/>
        </w:rPr>
      </w:pPr>
      <w:r>
        <w:rPr>
          <w:b/>
        </w:rPr>
        <w:t>With All Preceding Assumptions</w:t>
      </w:r>
    </w:p>
    <w:tbl>
      <w:tblPr>
        <w:tblStyle w:val="TableGrid"/>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5157FC" w14:paraId="16D97A16" w14:textId="77777777" w:rsidTr="005157FC">
        <w:tc>
          <w:tcPr>
            <w:tcW w:w="1705" w:type="dxa"/>
            <w:vMerge w:val="restart"/>
          </w:tcPr>
          <w:p w14:paraId="1895794C" w14:textId="77777777" w:rsidR="005157FC" w:rsidRDefault="005157FC" w:rsidP="005157FC">
            <w:pPr>
              <w:ind w:left="0"/>
              <w:rPr>
                <w:sz w:val="20"/>
                <w:szCs w:val="20"/>
              </w:rPr>
            </w:pPr>
            <w:r>
              <w:rPr>
                <w:sz w:val="20"/>
                <w:szCs w:val="20"/>
              </w:rPr>
              <w:t>NWGF Efficiency Level</w:t>
            </w:r>
          </w:p>
        </w:tc>
        <w:tc>
          <w:tcPr>
            <w:tcW w:w="1840" w:type="dxa"/>
            <w:gridSpan w:val="2"/>
          </w:tcPr>
          <w:p w14:paraId="395B245D" w14:textId="77777777" w:rsidR="005157FC" w:rsidRDefault="005157FC" w:rsidP="005157FC">
            <w:pPr>
              <w:ind w:left="0"/>
              <w:jc w:val="center"/>
              <w:rPr>
                <w:sz w:val="20"/>
                <w:szCs w:val="20"/>
              </w:rPr>
            </w:pPr>
            <w:r>
              <w:rPr>
                <w:sz w:val="20"/>
                <w:szCs w:val="20"/>
              </w:rPr>
              <w:t>U.S.</w:t>
            </w:r>
          </w:p>
        </w:tc>
        <w:tc>
          <w:tcPr>
            <w:tcW w:w="2007" w:type="dxa"/>
            <w:gridSpan w:val="2"/>
          </w:tcPr>
          <w:p w14:paraId="788ECFC2" w14:textId="77777777" w:rsidR="005157FC" w:rsidRDefault="005157FC" w:rsidP="005157FC">
            <w:pPr>
              <w:ind w:left="0"/>
              <w:jc w:val="center"/>
              <w:rPr>
                <w:sz w:val="20"/>
                <w:szCs w:val="20"/>
              </w:rPr>
            </w:pPr>
            <w:r>
              <w:rPr>
                <w:sz w:val="20"/>
                <w:szCs w:val="20"/>
              </w:rPr>
              <w:t>Northern U.S.</w:t>
            </w:r>
          </w:p>
        </w:tc>
        <w:tc>
          <w:tcPr>
            <w:tcW w:w="0" w:type="auto"/>
            <w:gridSpan w:val="2"/>
          </w:tcPr>
          <w:p w14:paraId="19C54CBA" w14:textId="77777777" w:rsidR="005157FC" w:rsidRDefault="005157FC" w:rsidP="005157FC">
            <w:pPr>
              <w:ind w:left="0"/>
              <w:jc w:val="center"/>
              <w:rPr>
                <w:sz w:val="20"/>
                <w:szCs w:val="20"/>
              </w:rPr>
            </w:pPr>
            <w:r>
              <w:rPr>
                <w:sz w:val="20"/>
                <w:szCs w:val="20"/>
              </w:rPr>
              <w:t>Southern U.S.</w:t>
            </w:r>
          </w:p>
        </w:tc>
        <w:tc>
          <w:tcPr>
            <w:tcW w:w="0" w:type="auto"/>
            <w:gridSpan w:val="2"/>
          </w:tcPr>
          <w:p w14:paraId="411D29CD" w14:textId="77777777" w:rsidR="005157FC" w:rsidRDefault="005157FC" w:rsidP="005157FC">
            <w:pPr>
              <w:ind w:left="0"/>
              <w:jc w:val="center"/>
              <w:rPr>
                <w:sz w:val="20"/>
                <w:szCs w:val="20"/>
              </w:rPr>
            </w:pPr>
            <w:r>
              <w:rPr>
                <w:sz w:val="20"/>
                <w:szCs w:val="20"/>
              </w:rPr>
              <w:t>California Only</w:t>
            </w:r>
          </w:p>
        </w:tc>
      </w:tr>
      <w:tr w:rsidR="005157FC" w14:paraId="5A0207F3" w14:textId="77777777" w:rsidTr="005157FC">
        <w:tc>
          <w:tcPr>
            <w:tcW w:w="1705" w:type="dxa"/>
            <w:vMerge/>
          </w:tcPr>
          <w:p w14:paraId="302D64F3" w14:textId="77777777" w:rsidR="005157FC" w:rsidRDefault="005157FC" w:rsidP="005157FC">
            <w:pPr>
              <w:ind w:left="0"/>
              <w:rPr>
                <w:sz w:val="20"/>
                <w:szCs w:val="20"/>
              </w:rPr>
            </w:pPr>
          </w:p>
        </w:tc>
        <w:tc>
          <w:tcPr>
            <w:tcW w:w="990" w:type="dxa"/>
          </w:tcPr>
          <w:p w14:paraId="588698A4" w14:textId="77777777" w:rsidR="005157FC" w:rsidRDefault="005157FC" w:rsidP="005157FC">
            <w:pPr>
              <w:ind w:left="0"/>
              <w:jc w:val="center"/>
              <w:rPr>
                <w:sz w:val="20"/>
                <w:szCs w:val="20"/>
              </w:rPr>
            </w:pPr>
            <w:r>
              <w:rPr>
                <w:sz w:val="20"/>
                <w:szCs w:val="20"/>
              </w:rPr>
              <w:t>LCC</w:t>
            </w:r>
          </w:p>
        </w:tc>
        <w:tc>
          <w:tcPr>
            <w:tcW w:w="850" w:type="dxa"/>
          </w:tcPr>
          <w:p w14:paraId="3E9AA7AA" w14:textId="77777777" w:rsidR="005157FC" w:rsidRDefault="005157FC" w:rsidP="005157FC">
            <w:pPr>
              <w:ind w:left="0"/>
              <w:jc w:val="center"/>
              <w:rPr>
                <w:sz w:val="20"/>
                <w:szCs w:val="20"/>
              </w:rPr>
            </w:pPr>
            <w:r>
              <w:rPr>
                <w:sz w:val="20"/>
                <w:szCs w:val="20"/>
              </w:rPr>
              <w:t>LCC Savings</w:t>
            </w:r>
          </w:p>
        </w:tc>
        <w:tc>
          <w:tcPr>
            <w:tcW w:w="975" w:type="dxa"/>
          </w:tcPr>
          <w:p w14:paraId="4E1F07AA" w14:textId="77777777" w:rsidR="005157FC" w:rsidRDefault="005157FC" w:rsidP="005157FC">
            <w:pPr>
              <w:ind w:left="0"/>
              <w:jc w:val="center"/>
              <w:rPr>
                <w:sz w:val="20"/>
                <w:szCs w:val="20"/>
              </w:rPr>
            </w:pPr>
            <w:r>
              <w:rPr>
                <w:sz w:val="20"/>
                <w:szCs w:val="20"/>
              </w:rPr>
              <w:t>LCC</w:t>
            </w:r>
          </w:p>
        </w:tc>
        <w:tc>
          <w:tcPr>
            <w:tcW w:w="1032" w:type="dxa"/>
          </w:tcPr>
          <w:p w14:paraId="1775D59C" w14:textId="77777777" w:rsidR="005157FC" w:rsidRDefault="005157FC" w:rsidP="005157FC">
            <w:pPr>
              <w:ind w:left="0"/>
              <w:jc w:val="center"/>
              <w:rPr>
                <w:sz w:val="20"/>
                <w:szCs w:val="20"/>
              </w:rPr>
            </w:pPr>
            <w:r>
              <w:rPr>
                <w:sz w:val="20"/>
                <w:szCs w:val="20"/>
              </w:rPr>
              <w:t>LCC Savings</w:t>
            </w:r>
          </w:p>
        </w:tc>
        <w:tc>
          <w:tcPr>
            <w:tcW w:w="908" w:type="dxa"/>
          </w:tcPr>
          <w:p w14:paraId="1E9074C6" w14:textId="77777777" w:rsidR="005157FC" w:rsidRDefault="005157FC" w:rsidP="005157FC">
            <w:pPr>
              <w:ind w:left="0"/>
              <w:jc w:val="center"/>
              <w:rPr>
                <w:sz w:val="20"/>
                <w:szCs w:val="20"/>
              </w:rPr>
            </w:pPr>
            <w:r>
              <w:rPr>
                <w:sz w:val="20"/>
                <w:szCs w:val="20"/>
              </w:rPr>
              <w:t>LCC</w:t>
            </w:r>
          </w:p>
        </w:tc>
        <w:tc>
          <w:tcPr>
            <w:tcW w:w="986" w:type="dxa"/>
          </w:tcPr>
          <w:p w14:paraId="26DCA520" w14:textId="77777777" w:rsidR="005157FC" w:rsidRDefault="005157FC" w:rsidP="005157FC">
            <w:pPr>
              <w:ind w:left="0"/>
              <w:jc w:val="center"/>
              <w:rPr>
                <w:sz w:val="20"/>
                <w:szCs w:val="20"/>
              </w:rPr>
            </w:pPr>
            <w:r>
              <w:rPr>
                <w:sz w:val="20"/>
                <w:szCs w:val="20"/>
              </w:rPr>
              <w:t>LCC Savings</w:t>
            </w:r>
          </w:p>
        </w:tc>
        <w:tc>
          <w:tcPr>
            <w:tcW w:w="904" w:type="dxa"/>
          </w:tcPr>
          <w:p w14:paraId="79B78441" w14:textId="77777777" w:rsidR="005157FC" w:rsidRDefault="005157FC" w:rsidP="005157FC">
            <w:pPr>
              <w:ind w:left="0"/>
              <w:jc w:val="center"/>
              <w:rPr>
                <w:sz w:val="20"/>
                <w:szCs w:val="20"/>
              </w:rPr>
            </w:pPr>
            <w:r>
              <w:rPr>
                <w:sz w:val="20"/>
                <w:szCs w:val="20"/>
              </w:rPr>
              <w:t>LCC</w:t>
            </w:r>
          </w:p>
        </w:tc>
        <w:tc>
          <w:tcPr>
            <w:tcW w:w="990" w:type="dxa"/>
          </w:tcPr>
          <w:p w14:paraId="1059A455" w14:textId="77777777" w:rsidR="005157FC" w:rsidRDefault="005157FC" w:rsidP="005157FC">
            <w:pPr>
              <w:ind w:left="0"/>
              <w:jc w:val="center"/>
              <w:rPr>
                <w:sz w:val="20"/>
                <w:szCs w:val="20"/>
              </w:rPr>
            </w:pPr>
            <w:r>
              <w:rPr>
                <w:sz w:val="20"/>
                <w:szCs w:val="20"/>
              </w:rPr>
              <w:t>LCC Savings</w:t>
            </w:r>
          </w:p>
        </w:tc>
      </w:tr>
      <w:tr w:rsidR="005157FC" w14:paraId="2E422575" w14:textId="77777777" w:rsidTr="005157FC">
        <w:tc>
          <w:tcPr>
            <w:tcW w:w="1705" w:type="dxa"/>
            <w:vAlign w:val="bottom"/>
          </w:tcPr>
          <w:p w14:paraId="1AF7E286" w14:textId="77777777" w:rsidR="005157FC" w:rsidRDefault="005157FC" w:rsidP="005157FC">
            <w:pPr>
              <w:ind w:left="0"/>
              <w:rPr>
                <w:sz w:val="20"/>
                <w:szCs w:val="20"/>
              </w:rPr>
            </w:pPr>
            <w:r>
              <w:rPr>
                <w:sz w:val="20"/>
                <w:szCs w:val="20"/>
              </w:rPr>
              <w:t>0 - NWGF 80%</w:t>
            </w:r>
          </w:p>
        </w:tc>
        <w:tc>
          <w:tcPr>
            <w:tcW w:w="990" w:type="dxa"/>
            <w:vAlign w:val="bottom"/>
          </w:tcPr>
          <w:p w14:paraId="32BA0213" w14:textId="77777777" w:rsidR="005157FC" w:rsidRDefault="005157FC" w:rsidP="005157FC">
            <w:pPr>
              <w:jc w:val="right"/>
              <w:rPr>
                <w:rFonts w:ascii="Arial" w:hAnsi="Arial" w:cs="Arial"/>
                <w:sz w:val="16"/>
                <w:szCs w:val="16"/>
              </w:rPr>
            </w:pPr>
          </w:p>
        </w:tc>
        <w:tc>
          <w:tcPr>
            <w:tcW w:w="850" w:type="dxa"/>
            <w:vAlign w:val="bottom"/>
          </w:tcPr>
          <w:p w14:paraId="24EE731D" w14:textId="77777777" w:rsidR="005157FC" w:rsidRDefault="005157FC" w:rsidP="005157FC">
            <w:pPr>
              <w:jc w:val="center"/>
              <w:rPr>
                <w:rFonts w:ascii="Arial" w:hAnsi="Arial" w:cs="Arial"/>
                <w:sz w:val="16"/>
                <w:szCs w:val="16"/>
              </w:rPr>
            </w:pPr>
          </w:p>
        </w:tc>
        <w:tc>
          <w:tcPr>
            <w:tcW w:w="975" w:type="dxa"/>
            <w:vAlign w:val="bottom"/>
          </w:tcPr>
          <w:p w14:paraId="6AC2DBB3" w14:textId="77777777" w:rsidR="005157FC" w:rsidRDefault="005157FC" w:rsidP="005157FC">
            <w:pPr>
              <w:jc w:val="right"/>
              <w:rPr>
                <w:rFonts w:ascii="Arial" w:hAnsi="Arial" w:cs="Arial"/>
                <w:sz w:val="16"/>
                <w:szCs w:val="16"/>
              </w:rPr>
            </w:pPr>
          </w:p>
        </w:tc>
        <w:tc>
          <w:tcPr>
            <w:tcW w:w="1032" w:type="dxa"/>
            <w:vAlign w:val="bottom"/>
          </w:tcPr>
          <w:p w14:paraId="50735CC2" w14:textId="77777777" w:rsidR="005157FC" w:rsidRDefault="005157FC" w:rsidP="005157FC">
            <w:pPr>
              <w:jc w:val="center"/>
              <w:rPr>
                <w:rFonts w:ascii="Arial" w:hAnsi="Arial" w:cs="Arial"/>
                <w:sz w:val="16"/>
                <w:szCs w:val="16"/>
              </w:rPr>
            </w:pPr>
          </w:p>
        </w:tc>
        <w:tc>
          <w:tcPr>
            <w:tcW w:w="908" w:type="dxa"/>
            <w:vAlign w:val="bottom"/>
          </w:tcPr>
          <w:p w14:paraId="74BA6C8B" w14:textId="77777777" w:rsidR="005157FC" w:rsidRDefault="005157FC" w:rsidP="005157FC">
            <w:pPr>
              <w:jc w:val="right"/>
              <w:rPr>
                <w:rFonts w:ascii="Arial" w:hAnsi="Arial" w:cs="Arial"/>
                <w:sz w:val="16"/>
                <w:szCs w:val="16"/>
              </w:rPr>
            </w:pPr>
          </w:p>
        </w:tc>
        <w:tc>
          <w:tcPr>
            <w:tcW w:w="986" w:type="dxa"/>
            <w:vAlign w:val="bottom"/>
          </w:tcPr>
          <w:p w14:paraId="2EE30A2E" w14:textId="77777777" w:rsidR="005157FC" w:rsidRDefault="005157FC" w:rsidP="005157FC">
            <w:pPr>
              <w:jc w:val="center"/>
              <w:rPr>
                <w:rFonts w:ascii="Arial" w:hAnsi="Arial" w:cs="Arial"/>
                <w:sz w:val="16"/>
                <w:szCs w:val="16"/>
              </w:rPr>
            </w:pPr>
          </w:p>
        </w:tc>
        <w:tc>
          <w:tcPr>
            <w:tcW w:w="904" w:type="dxa"/>
            <w:vAlign w:val="bottom"/>
          </w:tcPr>
          <w:p w14:paraId="570A5FF3" w14:textId="77777777" w:rsidR="005157FC" w:rsidRDefault="005157FC" w:rsidP="005157FC">
            <w:pPr>
              <w:jc w:val="right"/>
              <w:rPr>
                <w:rFonts w:ascii="Arial" w:hAnsi="Arial" w:cs="Arial"/>
                <w:sz w:val="16"/>
                <w:szCs w:val="16"/>
              </w:rPr>
            </w:pPr>
          </w:p>
        </w:tc>
        <w:tc>
          <w:tcPr>
            <w:tcW w:w="990" w:type="dxa"/>
            <w:vAlign w:val="bottom"/>
          </w:tcPr>
          <w:p w14:paraId="440FD3EE" w14:textId="77777777" w:rsidR="005157FC" w:rsidRDefault="005157FC" w:rsidP="005157FC">
            <w:pPr>
              <w:jc w:val="center"/>
              <w:rPr>
                <w:rFonts w:ascii="Arial" w:hAnsi="Arial" w:cs="Arial"/>
                <w:sz w:val="16"/>
                <w:szCs w:val="16"/>
              </w:rPr>
            </w:pPr>
          </w:p>
        </w:tc>
      </w:tr>
      <w:tr w:rsidR="005157FC" w14:paraId="73F405F0" w14:textId="77777777" w:rsidTr="005157FC">
        <w:tc>
          <w:tcPr>
            <w:tcW w:w="1705" w:type="dxa"/>
            <w:vAlign w:val="bottom"/>
          </w:tcPr>
          <w:p w14:paraId="3AA3C4BC" w14:textId="77777777" w:rsidR="005157FC" w:rsidRDefault="005157FC" w:rsidP="005157FC">
            <w:pPr>
              <w:ind w:left="0"/>
              <w:rPr>
                <w:sz w:val="20"/>
                <w:szCs w:val="20"/>
              </w:rPr>
            </w:pPr>
            <w:r>
              <w:rPr>
                <w:sz w:val="20"/>
                <w:szCs w:val="20"/>
              </w:rPr>
              <w:t>1 - NWGF 90%</w:t>
            </w:r>
          </w:p>
        </w:tc>
        <w:tc>
          <w:tcPr>
            <w:tcW w:w="990" w:type="dxa"/>
            <w:vAlign w:val="bottom"/>
          </w:tcPr>
          <w:p w14:paraId="37BF21DC" w14:textId="77777777" w:rsidR="005157FC" w:rsidRDefault="005157FC" w:rsidP="005157FC">
            <w:pPr>
              <w:jc w:val="right"/>
              <w:rPr>
                <w:rFonts w:ascii="Arial" w:hAnsi="Arial" w:cs="Arial"/>
                <w:sz w:val="16"/>
                <w:szCs w:val="16"/>
              </w:rPr>
            </w:pPr>
          </w:p>
        </w:tc>
        <w:tc>
          <w:tcPr>
            <w:tcW w:w="850" w:type="dxa"/>
            <w:vAlign w:val="bottom"/>
          </w:tcPr>
          <w:p w14:paraId="3A82CC4A"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46E404C8" w14:textId="77777777" w:rsidR="005157FC" w:rsidRDefault="005157FC" w:rsidP="005157FC">
            <w:pPr>
              <w:jc w:val="right"/>
              <w:rPr>
                <w:rFonts w:ascii="Arial" w:hAnsi="Arial" w:cs="Arial"/>
                <w:sz w:val="16"/>
                <w:szCs w:val="16"/>
              </w:rPr>
            </w:pPr>
          </w:p>
        </w:tc>
        <w:tc>
          <w:tcPr>
            <w:tcW w:w="1032" w:type="dxa"/>
            <w:vAlign w:val="bottom"/>
          </w:tcPr>
          <w:p w14:paraId="34983497"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4E2646B8" w14:textId="77777777" w:rsidR="005157FC" w:rsidRDefault="005157FC" w:rsidP="005157FC">
            <w:pPr>
              <w:jc w:val="right"/>
              <w:rPr>
                <w:rFonts w:ascii="Arial" w:hAnsi="Arial" w:cs="Arial"/>
                <w:sz w:val="16"/>
                <w:szCs w:val="16"/>
              </w:rPr>
            </w:pPr>
          </w:p>
        </w:tc>
        <w:tc>
          <w:tcPr>
            <w:tcW w:w="986" w:type="dxa"/>
            <w:vAlign w:val="bottom"/>
          </w:tcPr>
          <w:p w14:paraId="2D73CDB9"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4EA7F39E" w14:textId="77777777" w:rsidR="005157FC" w:rsidRDefault="005157FC" w:rsidP="005157FC">
            <w:pPr>
              <w:jc w:val="right"/>
              <w:rPr>
                <w:rFonts w:ascii="Arial" w:hAnsi="Arial" w:cs="Arial"/>
                <w:sz w:val="16"/>
                <w:szCs w:val="16"/>
              </w:rPr>
            </w:pPr>
          </w:p>
        </w:tc>
        <w:tc>
          <w:tcPr>
            <w:tcW w:w="990" w:type="dxa"/>
            <w:vAlign w:val="bottom"/>
          </w:tcPr>
          <w:p w14:paraId="1C39E432" w14:textId="77777777" w:rsidR="005157FC" w:rsidRDefault="005157FC" w:rsidP="005157FC">
            <w:pPr>
              <w:ind w:firstLineChars="100" w:firstLine="160"/>
              <w:jc w:val="right"/>
              <w:rPr>
                <w:rFonts w:ascii="Arial" w:hAnsi="Arial" w:cs="Arial"/>
                <w:sz w:val="16"/>
                <w:szCs w:val="16"/>
              </w:rPr>
            </w:pPr>
          </w:p>
        </w:tc>
      </w:tr>
      <w:tr w:rsidR="005157FC" w14:paraId="3B0B23A5" w14:textId="77777777" w:rsidTr="005157FC">
        <w:tc>
          <w:tcPr>
            <w:tcW w:w="1705" w:type="dxa"/>
            <w:vAlign w:val="bottom"/>
          </w:tcPr>
          <w:p w14:paraId="7394B5BB" w14:textId="77777777" w:rsidR="005157FC" w:rsidRDefault="005157FC" w:rsidP="005157FC">
            <w:pPr>
              <w:ind w:left="0"/>
              <w:rPr>
                <w:sz w:val="20"/>
                <w:szCs w:val="20"/>
              </w:rPr>
            </w:pPr>
            <w:r>
              <w:rPr>
                <w:sz w:val="20"/>
                <w:szCs w:val="20"/>
              </w:rPr>
              <w:t>2 - NWGF 92%</w:t>
            </w:r>
          </w:p>
        </w:tc>
        <w:tc>
          <w:tcPr>
            <w:tcW w:w="990" w:type="dxa"/>
            <w:vAlign w:val="bottom"/>
          </w:tcPr>
          <w:p w14:paraId="2B0CB65B" w14:textId="77777777" w:rsidR="005157FC" w:rsidRDefault="005157FC" w:rsidP="005157FC">
            <w:pPr>
              <w:jc w:val="right"/>
              <w:rPr>
                <w:rFonts w:ascii="Arial" w:hAnsi="Arial" w:cs="Arial"/>
                <w:sz w:val="16"/>
                <w:szCs w:val="16"/>
              </w:rPr>
            </w:pPr>
          </w:p>
        </w:tc>
        <w:tc>
          <w:tcPr>
            <w:tcW w:w="850" w:type="dxa"/>
            <w:vAlign w:val="bottom"/>
          </w:tcPr>
          <w:p w14:paraId="21BC786F"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5664F6B7" w14:textId="77777777" w:rsidR="005157FC" w:rsidRDefault="005157FC" w:rsidP="005157FC">
            <w:pPr>
              <w:jc w:val="right"/>
              <w:rPr>
                <w:rFonts w:ascii="Arial" w:hAnsi="Arial" w:cs="Arial"/>
                <w:sz w:val="16"/>
                <w:szCs w:val="16"/>
              </w:rPr>
            </w:pPr>
          </w:p>
        </w:tc>
        <w:tc>
          <w:tcPr>
            <w:tcW w:w="1032" w:type="dxa"/>
            <w:vAlign w:val="bottom"/>
          </w:tcPr>
          <w:p w14:paraId="7A59B3C0"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5E51D4D1" w14:textId="77777777" w:rsidR="005157FC" w:rsidRDefault="005157FC" w:rsidP="005157FC">
            <w:pPr>
              <w:jc w:val="right"/>
              <w:rPr>
                <w:rFonts w:ascii="Arial" w:hAnsi="Arial" w:cs="Arial"/>
                <w:sz w:val="16"/>
                <w:szCs w:val="16"/>
              </w:rPr>
            </w:pPr>
          </w:p>
        </w:tc>
        <w:tc>
          <w:tcPr>
            <w:tcW w:w="986" w:type="dxa"/>
            <w:vAlign w:val="bottom"/>
          </w:tcPr>
          <w:p w14:paraId="045E50BD"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314C0AF9" w14:textId="77777777" w:rsidR="005157FC" w:rsidRDefault="005157FC" w:rsidP="005157FC">
            <w:pPr>
              <w:jc w:val="right"/>
              <w:rPr>
                <w:rFonts w:ascii="Arial" w:hAnsi="Arial" w:cs="Arial"/>
                <w:sz w:val="16"/>
                <w:szCs w:val="16"/>
              </w:rPr>
            </w:pPr>
          </w:p>
        </w:tc>
        <w:tc>
          <w:tcPr>
            <w:tcW w:w="990" w:type="dxa"/>
            <w:vAlign w:val="bottom"/>
          </w:tcPr>
          <w:p w14:paraId="4D4DC1A8" w14:textId="77777777" w:rsidR="005157FC" w:rsidRDefault="005157FC" w:rsidP="005157FC">
            <w:pPr>
              <w:ind w:firstLineChars="100" w:firstLine="160"/>
              <w:jc w:val="right"/>
              <w:rPr>
                <w:rFonts w:ascii="Arial" w:hAnsi="Arial" w:cs="Arial"/>
                <w:sz w:val="16"/>
                <w:szCs w:val="16"/>
              </w:rPr>
            </w:pPr>
          </w:p>
        </w:tc>
      </w:tr>
      <w:tr w:rsidR="005157FC" w14:paraId="670FA348" w14:textId="77777777" w:rsidTr="005157FC">
        <w:tc>
          <w:tcPr>
            <w:tcW w:w="1705" w:type="dxa"/>
            <w:vAlign w:val="bottom"/>
          </w:tcPr>
          <w:p w14:paraId="35635413" w14:textId="77777777" w:rsidR="005157FC" w:rsidRDefault="005157FC" w:rsidP="005157FC">
            <w:pPr>
              <w:ind w:left="0"/>
              <w:rPr>
                <w:sz w:val="20"/>
                <w:szCs w:val="20"/>
              </w:rPr>
            </w:pPr>
            <w:r>
              <w:rPr>
                <w:sz w:val="20"/>
                <w:szCs w:val="20"/>
              </w:rPr>
              <w:t>3 - NWGF 95%</w:t>
            </w:r>
          </w:p>
        </w:tc>
        <w:tc>
          <w:tcPr>
            <w:tcW w:w="990" w:type="dxa"/>
            <w:vAlign w:val="bottom"/>
          </w:tcPr>
          <w:p w14:paraId="3E9D1C4B" w14:textId="77777777" w:rsidR="005157FC" w:rsidRDefault="005157FC" w:rsidP="005157FC">
            <w:pPr>
              <w:jc w:val="right"/>
              <w:rPr>
                <w:rFonts w:ascii="Arial" w:hAnsi="Arial" w:cs="Arial"/>
                <w:sz w:val="16"/>
                <w:szCs w:val="16"/>
              </w:rPr>
            </w:pPr>
          </w:p>
        </w:tc>
        <w:tc>
          <w:tcPr>
            <w:tcW w:w="850" w:type="dxa"/>
            <w:vAlign w:val="bottom"/>
          </w:tcPr>
          <w:p w14:paraId="2C533659"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0F58CAA7" w14:textId="77777777" w:rsidR="005157FC" w:rsidRDefault="005157FC" w:rsidP="005157FC">
            <w:pPr>
              <w:jc w:val="right"/>
              <w:rPr>
                <w:rFonts w:ascii="Arial" w:hAnsi="Arial" w:cs="Arial"/>
                <w:sz w:val="16"/>
                <w:szCs w:val="16"/>
              </w:rPr>
            </w:pPr>
          </w:p>
        </w:tc>
        <w:tc>
          <w:tcPr>
            <w:tcW w:w="1032" w:type="dxa"/>
            <w:vAlign w:val="bottom"/>
          </w:tcPr>
          <w:p w14:paraId="5C6325BC"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62AB788F" w14:textId="77777777" w:rsidR="005157FC" w:rsidRDefault="005157FC" w:rsidP="005157FC">
            <w:pPr>
              <w:jc w:val="right"/>
              <w:rPr>
                <w:rFonts w:ascii="Arial" w:hAnsi="Arial" w:cs="Arial"/>
                <w:sz w:val="16"/>
                <w:szCs w:val="16"/>
              </w:rPr>
            </w:pPr>
          </w:p>
        </w:tc>
        <w:tc>
          <w:tcPr>
            <w:tcW w:w="986" w:type="dxa"/>
            <w:vAlign w:val="bottom"/>
          </w:tcPr>
          <w:p w14:paraId="673CE8ED"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26C0CA47" w14:textId="77777777" w:rsidR="005157FC" w:rsidRDefault="005157FC" w:rsidP="005157FC">
            <w:pPr>
              <w:jc w:val="right"/>
              <w:rPr>
                <w:rFonts w:ascii="Arial" w:hAnsi="Arial" w:cs="Arial"/>
                <w:sz w:val="16"/>
                <w:szCs w:val="16"/>
              </w:rPr>
            </w:pPr>
          </w:p>
        </w:tc>
        <w:tc>
          <w:tcPr>
            <w:tcW w:w="990" w:type="dxa"/>
            <w:vAlign w:val="bottom"/>
          </w:tcPr>
          <w:p w14:paraId="4D1CDB23" w14:textId="77777777" w:rsidR="005157FC" w:rsidRDefault="005157FC" w:rsidP="005157FC">
            <w:pPr>
              <w:ind w:firstLineChars="100" w:firstLine="160"/>
              <w:jc w:val="right"/>
              <w:rPr>
                <w:rFonts w:ascii="Arial" w:hAnsi="Arial" w:cs="Arial"/>
                <w:sz w:val="16"/>
                <w:szCs w:val="16"/>
              </w:rPr>
            </w:pPr>
          </w:p>
        </w:tc>
      </w:tr>
      <w:tr w:rsidR="005157FC" w14:paraId="4201BC8C" w14:textId="77777777" w:rsidTr="005157FC">
        <w:tc>
          <w:tcPr>
            <w:tcW w:w="1705" w:type="dxa"/>
            <w:vAlign w:val="bottom"/>
          </w:tcPr>
          <w:p w14:paraId="5DF7EBA1" w14:textId="77777777" w:rsidR="005157FC" w:rsidRDefault="005157FC" w:rsidP="005157FC">
            <w:pPr>
              <w:ind w:left="0"/>
              <w:rPr>
                <w:sz w:val="20"/>
                <w:szCs w:val="20"/>
              </w:rPr>
            </w:pPr>
            <w:r>
              <w:rPr>
                <w:sz w:val="20"/>
                <w:szCs w:val="20"/>
              </w:rPr>
              <w:t>4 - NWGF 98%</w:t>
            </w:r>
          </w:p>
        </w:tc>
        <w:tc>
          <w:tcPr>
            <w:tcW w:w="990" w:type="dxa"/>
            <w:vAlign w:val="bottom"/>
          </w:tcPr>
          <w:p w14:paraId="0B175D9A" w14:textId="77777777" w:rsidR="005157FC" w:rsidRDefault="005157FC" w:rsidP="005157FC">
            <w:pPr>
              <w:jc w:val="right"/>
              <w:rPr>
                <w:rFonts w:ascii="Arial" w:hAnsi="Arial" w:cs="Arial"/>
                <w:sz w:val="16"/>
                <w:szCs w:val="16"/>
              </w:rPr>
            </w:pPr>
          </w:p>
        </w:tc>
        <w:tc>
          <w:tcPr>
            <w:tcW w:w="850" w:type="dxa"/>
            <w:vAlign w:val="bottom"/>
          </w:tcPr>
          <w:p w14:paraId="1A6E95D2" w14:textId="77777777" w:rsidR="005157FC" w:rsidRDefault="005157FC" w:rsidP="005157FC">
            <w:pPr>
              <w:ind w:firstLineChars="100" w:firstLine="160"/>
              <w:jc w:val="right"/>
              <w:rPr>
                <w:rFonts w:ascii="Arial" w:hAnsi="Arial" w:cs="Arial"/>
                <w:sz w:val="16"/>
                <w:szCs w:val="16"/>
              </w:rPr>
            </w:pPr>
          </w:p>
        </w:tc>
        <w:tc>
          <w:tcPr>
            <w:tcW w:w="975" w:type="dxa"/>
            <w:vAlign w:val="bottom"/>
          </w:tcPr>
          <w:p w14:paraId="1F764799" w14:textId="77777777" w:rsidR="005157FC" w:rsidRDefault="005157FC" w:rsidP="005157FC">
            <w:pPr>
              <w:jc w:val="right"/>
              <w:rPr>
                <w:rFonts w:ascii="Arial" w:hAnsi="Arial" w:cs="Arial"/>
                <w:sz w:val="16"/>
                <w:szCs w:val="16"/>
              </w:rPr>
            </w:pPr>
          </w:p>
        </w:tc>
        <w:tc>
          <w:tcPr>
            <w:tcW w:w="1032" w:type="dxa"/>
            <w:vAlign w:val="bottom"/>
          </w:tcPr>
          <w:p w14:paraId="17A575CD" w14:textId="77777777" w:rsidR="005157FC" w:rsidRDefault="005157FC" w:rsidP="005157FC">
            <w:pPr>
              <w:ind w:firstLineChars="100" w:firstLine="160"/>
              <w:jc w:val="right"/>
              <w:rPr>
                <w:rFonts w:ascii="Arial" w:hAnsi="Arial" w:cs="Arial"/>
                <w:sz w:val="16"/>
                <w:szCs w:val="16"/>
              </w:rPr>
            </w:pPr>
          </w:p>
        </w:tc>
        <w:tc>
          <w:tcPr>
            <w:tcW w:w="908" w:type="dxa"/>
            <w:vAlign w:val="bottom"/>
          </w:tcPr>
          <w:p w14:paraId="41A4FC4F" w14:textId="77777777" w:rsidR="005157FC" w:rsidRDefault="005157FC" w:rsidP="005157FC">
            <w:pPr>
              <w:jc w:val="right"/>
              <w:rPr>
                <w:rFonts w:ascii="Arial" w:hAnsi="Arial" w:cs="Arial"/>
                <w:sz w:val="16"/>
                <w:szCs w:val="16"/>
              </w:rPr>
            </w:pPr>
          </w:p>
        </w:tc>
        <w:tc>
          <w:tcPr>
            <w:tcW w:w="986" w:type="dxa"/>
            <w:vAlign w:val="bottom"/>
          </w:tcPr>
          <w:p w14:paraId="71703D6F" w14:textId="77777777" w:rsidR="005157FC" w:rsidRDefault="005157FC" w:rsidP="005157FC">
            <w:pPr>
              <w:ind w:firstLineChars="100" w:firstLine="160"/>
              <w:jc w:val="right"/>
              <w:rPr>
                <w:rFonts w:ascii="Arial" w:hAnsi="Arial" w:cs="Arial"/>
                <w:sz w:val="16"/>
                <w:szCs w:val="16"/>
              </w:rPr>
            </w:pPr>
          </w:p>
        </w:tc>
        <w:tc>
          <w:tcPr>
            <w:tcW w:w="904" w:type="dxa"/>
            <w:vAlign w:val="bottom"/>
          </w:tcPr>
          <w:p w14:paraId="79F1CA40" w14:textId="77777777" w:rsidR="005157FC" w:rsidRDefault="005157FC" w:rsidP="005157FC">
            <w:pPr>
              <w:jc w:val="right"/>
              <w:rPr>
                <w:rFonts w:ascii="Arial" w:hAnsi="Arial" w:cs="Arial"/>
                <w:sz w:val="16"/>
                <w:szCs w:val="16"/>
              </w:rPr>
            </w:pPr>
          </w:p>
        </w:tc>
        <w:tc>
          <w:tcPr>
            <w:tcW w:w="990" w:type="dxa"/>
            <w:vAlign w:val="bottom"/>
          </w:tcPr>
          <w:p w14:paraId="4BE8EE10" w14:textId="77777777" w:rsidR="005157FC" w:rsidRDefault="005157FC" w:rsidP="005157FC">
            <w:pPr>
              <w:ind w:firstLineChars="100" w:firstLine="160"/>
              <w:jc w:val="right"/>
              <w:rPr>
                <w:rFonts w:ascii="Arial" w:hAnsi="Arial" w:cs="Arial"/>
                <w:sz w:val="16"/>
                <w:szCs w:val="16"/>
              </w:rPr>
            </w:pPr>
          </w:p>
        </w:tc>
      </w:tr>
    </w:tbl>
    <w:p w14:paraId="6A1399C6" w14:textId="77777777" w:rsidR="00524215" w:rsidRDefault="00524215"/>
    <w:p w14:paraId="641D9542" w14:textId="6526BA66" w:rsidR="00EE677F" w:rsidRDefault="004E4C17">
      <w:pPr>
        <w:pStyle w:val="Heading2"/>
        <w:numPr>
          <w:ilvl w:val="0"/>
          <w:numId w:val="48"/>
        </w:numPr>
      </w:pPr>
      <w:r>
        <w:t>Clarify treatment of constant torque fan motor costs</w:t>
      </w:r>
    </w:p>
    <w:p w14:paraId="5DF3E376" w14:textId="57AB0D71" w:rsidR="00EE677F" w:rsidRDefault="00D135FE">
      <w:r>
        <w:lastRenderedPageBreak/>
        <w:t xml:space="preserve">The DOE’s treatment of the incremental costs of constant-torque BPM motors is unclear. As stated in the NOPR TSD Section 5.8.1, </w:t>
      </w:r>
      <w:r>
        <w:rPr>
          <w:i/>
        </w:rPr>
        <w:t>“following the 2014 furnace fan rulemaking, in 2019 fan efficiency requirements will be set at a level that will likely essentially require constant-torque BPM blower motors to be used for non-weatherized gas-fired furnaces[.]”</w:t>
      </w:r>
    </w:p>
    <w:p w14:paraId="706A0194" w14:textId="32321284" w:rsidR="00EE677F" w:rsidRDefault="00D135FE">
      <w:r>
        <w:t xml:space="preserve">However, later in the section the Residential Furnaces NOPR TSD states </w:t>
      </w:r>
      <w:r>
        <w:rPr>
          <w:i/>
        </w:rPr>
        <w:t>“Therefore, DOE determined the additional cost of changing from a PSC to a constant-torque BPM blower motor […] in the engineering analysis.”</w:t>
      </w:r>
      <w:r>
        <w:t xml:space="preserve"> Please confirm that this statement refers to the engineering analysis </w:t>
      </w:r>
      <w:r w:rsidR="005157FC">
        <w:t xml:space="preserve">of the previous </w:t>
      </w:r>
      <w:r>
        <w:t>furnace fan rulemaking.</w:t>
      </w:r>
    </w:p>
    <w:p w14:paraId="2DCB7132" w14:textId="5744C208" w:rsidR="00EE677F" w:rsidRDefault="00D135FE">
      <w:r>
        <w:t>Furthermore, Table 5.8.1 suggests that incremental costs to constant-torque BPM motors are included in overall costs. Please confirm that the only incremental costs included in the analysis are from constant-torque to constant-airflow (</w:t>
      </w:r>
      <w:r w:rsidR="005157FC">
        <w:t>e</w:t>
      </w:r>
      <w:r>
        <w:t>.</w:t>
      </w:r>
      <w:r w:rsidR="005157FC">
        <w:t>g</w:t>
      </w:r>
      <w:r>
        <w:t xml:space="preserve">., for a 60 </w:t>
      </w:r>
      <w:proofErr w:type="spellStart"/>
      <w:r>
        <w:t>kBtuh</w:t>
      </w:r>
      <w:proofErr w:type="spellEnd"/>
      <w:r>
        <w:t>/h NWGF, the incremental cost is $89.60 - $37.29 = $52.</w:t>
      </w:r>
      <w:commentRangeStart w:id="55"/>
      <w:r>
        <w:t>31</w:t>
      </w:r>
      <w:commentRangeEnd w:id="55"/>
      <w:r w:rsidR="00F227B3">
        <w:rPr>
          <w:rStyle w:val="CommentReference"/>
        </w:rPr>
        <w:commentReference w:id="55"/>
      </w:r>
      <w:r>
        <w:t>).</w:t>
      </w:r>
    </w:p>
    <w:p w14:paraId="70C24A53" w14:textId="4B0542A6" w:rsidR="00EE677F" w:rsidRDefault="004E4C17">
      <w:pPr>
        <w:pStyle w:val="Heading2"/>
        <w:numPr>
          <w:ilvl w:val="0"/>
          <w:numId w:val="48"/>
        </w:numPr>
      </w:pPr>
      <w:r>
        <w:t xml:space="preserve">Consider impending air quality regulations that will also increase </w:t>
      </w:r>
      <w:r w:rsidR="00D135FE">
        <w:t xml:space="preserve">demand </w:t>
      </w:r>
      <w:r>
        <w:t xml:space="preserve">for </w:t>
      </w:r>
      <w:r w:rsidR="00D135FE">
        <w:t>high-efficiency gas furnaces</w:t>
      </w:r>
    </w:p>
    <w:p w14:paraId="68AA5713" w14:textId="77777777" w:rsidR="00EE677F" w:rsidRDefault="00D135FE">
      <w: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69DB56BB" w14:textId="77777777" w:rsidR="00EE677F" w:rsidRDefault="00D135FE">
      <w: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E9B342E" w14:textId="77777777" w:rsidR="00EE677F" w:rsidRDefault="00D135FE">
      <w: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w:t>
      </w:r>
      <w:proofErr w:type="gramStart"/>
      <w:r>
        <w:t>an annual</w:t>
      </w:r>
      <w:proofErr w:type="gramEnd"/>
      <w:r>
        <w:t xml:space="preserve">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432D7FEF" w14:textId="77777777" w:rsidR="00EE677F" w:rsidRDefault="00D135FE">
      <w: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w:t>
      </w:r>
      <w:r>
        <w:lastRenderedPageBreak/>
        <w:t xml:space="preserve">specify any particular type of furnace technology, high efficiency furnaces would certainly help to meet NOx emission reduction goals. </w:t>
      </w:r>
    </w:p>
    <w:p w14:paraId="4391C8A5" w14:textId="3B53118D" w:rsidR="00EE677F" w:rsidRDefault="00D135FE">
      <w: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w:t>
      </w:r>
      <w:r w:rsidR="004E4C17">
        <w:t>ns and meet federal standards.</w:t>
      </w:r>
    </w:p>
    <w:p w14:paraId="7CD521B0" w14:textId="172EDCF5" w:rsidR="004E4C17" w:rsidRDefault="004E4C17" w:rsidP="004E4C17">
      <w:pPr>
        <w:pStyle w:val="Heading2"/>
        <w:numPr>
          <w:ilvl w:val="0"/>
          <w:numId w:val="48"/>
        </w:numPr>
      </w:pPr>
      <w:r>
        <w:t>Use region-specific source energy multipliers and accurately represent renewable generation</w:t>
      </w:r>
    </w:p>
    <w:p w14:paraId="177A6A7B" w14:textId="58C5F653" w:rsidR="004E4C17" w:rsidRDefault="004E4C17" w:rsidP="004E4C17">
      <w:r>
        <w:t>The NOPR TSD references the Energy Information Administration’s (EIA) Annual Energy Outlook (AEO) 2014</w:t>
      </w:r>
      <w:r>
        <w:rPr>
          <w:rStyle w:val="FootnoteReference"/>
        </w:rPr>
        <w:footnoteReference w:id="5"/>
      </w:r>
      <w:r>
        <w:t xml:space="preserve"> for the assumption of primary/site conversion factors for electricity, calculated as the heat input (Btu/</w:t>
      </w:r>
      <w:proofErr w:type="spellStart"/>
      <w:r>
        <w:t>hr</w:t>
      </w:r>
      <w:proofErr w:type="spellEnd"/>
      <w:r>
        <w:t>) for each electricity unit produced (kWh) (also known as a “heat rate”).</w:t>
      </w:r>
    </w:p>
    <w:p w14:paraId="4E53A8CE" w14:textId="13A9E081" w:rsidR="004E4C17" w:rsidRDefault="004E4C17" w:rsidP="004E4C17">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7A7FC28C" w14:textId="6B556F0C" w:rsidR="004E4C17" w:rsidRDefault="004E4C17" w:rsidP="004E4C17">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6"/>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7"/>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w:t>
      </w:r>
      <w:r w:rsidR="00E01AEE">
        <w:t xml:space="preserve">and other benefits </w:t>
      </w:r>
      <w:r>
        <w:t>associated with higher efficiency residential furnaces.</w:t>
      </w:r>
    </w:p>
    <w:p w14:paraId="46300595" w14:textId="77777777" w:rsidR="004E4C17" w:rsidRDefault="004E4C17"/>
    <w:p w14:paraId="3361C1E5" w14:textId="77BE347D" w:rsidR="005A71E5" w:rsidRDefault="005A71E5">
      <w:pPr>
        <w:spacing w:before="0" w:after="200" w:line="276" w:lineRule="auto"/>
        <w:ind w:left="0"/>
        <w:rPr>
          <w:b/>
          <w:u w:val="single"/>
        </w:rPr>
      </w:pPr>
    </w:p>
    <w:p w14:paraId="19EE9F6D" w14:textId="77777777" w:rsidR="00F13198" w:rsidRDefault="00F13198">
      <w:pPr>
        <w:spacing w:before="0" w:after="200" w:line="276" w:lineRule="auto"/>
        <w:ind w:left="0"/>
        <w:rPr>
          <w:b/>
          <w:u w:val="single"/>
        </w:rPr>
      </w:pPr>
    </w:p>
    <w:p w14:paraId="1BDFE99A" w14:textId="6AA28466" w:rsidR="005A71E5" w:rsidRPr="005A71E5" w:rsidRDefault="008C7C09" w:rsidP="005A71E5">
      <w:pPr>
        <w:jc w:val="center"/>
        <w:rPr>
          <w:b/>
          <w:u w:val="single"/>
        </w:rPr>
      </w:pPr>
      <w:r>
        <w:rPr>
          <w:b/>
          <w:u w:val="single"/>
        </w:rPr>
        <w:t>#8, 9, and 10</w:t>
      </w:r>
      <w:r w:rsidR="005A71E5" w:rsidRPr="005A71E5">
        <w:rPr>
          <w:b/>
          <w:u w:val="single"/>
        </w:rPr>
        <w:t xml:space="preserve"> is analysis performed for PG&amp;E and not necessarily intended for inclusion in the comment</w:t>
      </w:r>
    </w:p>
    <w:p w14:paraId="4ACB2D18" w14:textId="77777777" w:rsidR="00EE677F" w:rsidRDefault="00D135FE">
      <w:pPr>
        <w:pStyle w:val="Heading2"/>
        <w:numPr>
          <w:ilvl w:val="0"/>
          <w:numId w:val="48"/>
        </w:numPr>
      </w:pPr>
      <w:r>
        <w:t>Fuel switching effects has little impact on furnace and heat pump manufacturers</w:t>
      </w:r>
    </w:p>
    <w:p w14:paraId="6F8DD2AC" w14:textId="262AF233" w:rsidR="00EE677F" w:rsidRDefault="00D135FE">
      <w:r>
        <w:lastRenderedPageBreak/>
        <w:t xml:space="preserve">According to the </w:t>
      </w:r>
      <w:r w:rsidR="005157FC">
        <w:t xml:space="preserve">2011 DOE TSD on </w:t>
      </w:r>
      <w:r w:rsidRPr="005157FC">
        <w:t>Residential Central AC, Heat Pumps, and Furnaces</w:t>
      </w:r>
      <w:r w:rsidR="005157FC">
        <w:t>,</w:t>
      </w:r>
      <w:r w:rsidR="005157FC">
        <w:rPr>
          <w:rStyle w:val="FootnoteReference"/>
        </w:rPr>
        <w:footnoteReference w:id="8"/>
      </w:r>
      <w:r w:rsidRPr="005157FC">
        <w:t xml:space="preserve"> </w:t>
      </w:r>
      <w:r>
        <w:t xml:space="preserve">Figures 3.2.1 and 3.2.2, the manufacturers (and/or parent companies) that control 97% of the U.S. residential non weatherized gas furnace market also control 97% of the air conditioner and heat pump market. </w:t>
      </w:r>
      <w:r w:rsidR="00F037CC">
        <w:t xml:space="preserve">Furthermore, the relative proportion of the total market share for each manufacturer is similar in both markets. </w:t>
      </w:r>
      <w:r>
        <w:t xml:space="preserve">Thus, </w:t>
      </w:r>
      <w:r w:rsidR="00F037CC">
        <w:t xml:space="preserve">any </w:t>
      </w:r>
      <w:r>
        <w:t>fuel switching that may occur in response to increased energy efficiency requirements for furnaces will minimal</w:t>
      </w:r>
      <w:r w:rsidR="00F037CC">
        <w:t>ly impact on HVAC manufacturer market share</w:t>
      </w:r>
      <w:r>
        <w:t>.</w:t>
      </w:r>
    </w:p>
    <w:tbl>
      <w:tblPr>
        <w:tblStyle w:val="TableGrid"/>
        <w:tblW w:w="4944" w:type="pct"/>
        <w:jc w:val="center"/>
        <w:tblLook w:val="04A0" w:firstRow="1" w:lastRow="0" w:firstColumn="1" w:lastColumn="0" w:noHBand="0" w:noVBand="1"/>
      </w:tblPr>
      <w:tblGrid>
        <w:gridCol w:w="3128"/>
        <w:gridCol w:w="2381"/>
        <w:gridCol w:w="1801"/>
        <w:gridCol w:w="2159"/>
      </w:tblGrid>
      <w:tr w:rsidR="00EE677F" w14:paraId="508F90C8" w14:textId="77777777" w:rsidTr="005157FC">
        <w:trPr>
          <w:trHeight w:val="422"/>
          <w:jc w:val="center"/>
        </w:trPr>
        <w:tc>
          <w:tcPr>
            <w:tcW w:w="1652" w:type="pct"/>
          </w:tcPr>
          <w:p w14:paraId="2ED81256" w14:textId="77777777" w:rsidR="00EE677F" w:rsidRDefault="00D135FE">
            <w:pPr>
              <w:rPr>
                <w:b/>
                <w:sz w:val="20"/>
                <w:szCs w:val="20"/>
              </w:rPr>
            </w:pPr>
            <w:r>
              <w:rPr>
                <w:b/>
                <w:sz w:val="20"/>
                <w:szCs w:val="20"/>
              </w:rPr>
              <w:t>Manufacturer</w:t>
            </w:r>
          </w:p>
        </w:tc>
        <w:tc>
          <w:tcPr>
            <w:tcW w:w="1256" w:type="pct"/>
          </w:tcPr>
          <w:p w14:paraId="32443ED7" w14:textId="77777777" w:rsidR="00EE677F" w:rsidRDefault="00D135FE">
            <w:pPr>
              <w:rPr>
                <w:b/>
                <w:sz w:val="20"/>
                <w:szCs w:val="20"/>
              </w:rPr>
            </w:pPr>
            <w:r>
              <w:rPr>
                <w:b/>
                <w:sz w:val="20"/>
                <w:szCs w:val="20"/>
              </w:rPr>
              <w:t>Parent Company</w:t>
            </w:r>
          </w:p>
        </w:tc>
        <w:tc>
          <w:tcPr>
            <w:tcW w:w="951" w:type="pct"/>
          </w:tcPr>
          <w:p w14:paraId="7F2B9086" w14:textId="77777777" w:rsidR="00EE677F" w:rsidRDefault="00D135FE" w:rsidP="005157FC">
            <w:pPr>
              <w:ind w:left="0"/>
              <w:rPr>
                <w:b/>
                <w:sz w:val="20"/>
                <w:szCs w:val="20"/>
              </w:rPr>
            </w:pPr>
            <w:r>
              <w:rPr>
                <w:b/>
                <w:sz w:val="20"/>
                <w:szCs w:val="20"/>
              </w:rPr>
              <w:t>NWGF Market %</w:t>
            </w:r>
          </w:p>
        </w:tc>
        <w:tc>
          <w:tcPr>
            <w:tcW w:w="1141" w:type="pct"/>
          </w:tcPr>
          <w:p w14:paraId="45545D64" w14:textId="77777777" w:rsidR="00EE677F" w:rsidRDefault="00D135FE" w:rsidP="005157FC">
            <w:pPr>
              <w:ind w:left="0"/>
              <w:rPr>
                <w:b/>
                <w:sz w:val="20"/>
                <w:szCs w:val="20"/>
              </w:rPr>
            </w:pPr>
            <w:r>
              <w:rPr>
                <w:b/>
                <w:sz w:val="20"/>
                <w:szCs w:val="20"/>
              </w:rPr>
              <w:t>AC and HP Market %</w:t>
            </w:r>
          </w:p>
        </w:tc>
      </w:tr>
      <w:tr w:rsidR="00EE677F" w14:paraId="38BDCCC8" w14:textId="77777777" w:rsidTr="005157FC">
        <w:trPr>
          <w:trHeight w:val="251"/>
          <w:jc w:val="center"/>
        </w:trPr>
        <w:tc>
          <w:tcPr>
            <w:tcW w:w="1652" w:type="pct"/>
          </w:tcPr>
          <w:p w14:paraId="2EB21F20" w14:textId="77777777" w:rsidR="00EE677F" w:rsidRDefault="00D135FE">
            <w:pPr>
              <w:rPr>
                <w:sz w:val="20"/>
                <w:szCs w:val="20"/>
              </w:rPr>
            </w:pPr>
            <w:r>
              <w:rPr>
                <w:sz w:val="20"/>
                <w:szCs w:val="20"/>
              </w:rPr>
              <w:t>Allied Air Enterprises, LLC</w:t>
            </w:r>
          </w:p>
        </w:tc>
        <w:tc>
          <w:tcPr>
            <w:tcW w:w="1256" w:type="pct"/>
          </w:tcPr>
          <w:p w14:paraId="0260D9A2" w14:textId="77777777" w:rsidR="00EE677F" w:rsidRDefault="00D135FE">
            <w:pPr>
              <w:rPr>
                <w:sz w:val="20"/>
                <w:szCs w:val="20"/>
              </w:rPr>
            </w:pPr>
            <w:r>
              <w:rPr>
                <w:sz w:val="20"/>
                <w:szCs w:val="20"/>
              </w:rPr>
              <w:t>Lennox International</w:t>
            </w:r>
          </w:p>
        </w:tc>
        <w:tc>
          <w:tcPr>
            <w:tcW w:w="951" w:type="pct"/>
          </w:tcPr>
          <w:p w14:paraId="5889C882" w14:textId="77777777" w:rsidR="00EE677F" w:rsidRDefault="00D135FE">
            <w:pPr>
              <w:rPr>
                <w:sz w:val="20"/>
                <w:szCs w:val="20"/>
              </w:rPr>
            </w:pPr>
            <w:r>
              <w:rPr>
                <w:sz w:val="20"/>
                <w:szCs w:val="20"/>
              </w:rPr>
              <w:t>See Lennox</w:t>
            </w:r>
          </w:p>
        </w:tc>
        <w:tc>
          <w:tcPr>
            <w:tcW w:w="1141" w:type="pct"/>
          </w:tcPr>
          <w:p w14:paraId="38DE06F6" w14:textId="77777777" w:rsidR="00EE677F" w:rsidRDefault="00D135FE">
            <w:pPr>
              <w:rPr>
                <w:sz w:val="20"/>
                <w:szCs w:val="20"/>
              </w:rPr>
            </w:pPr>
            <w:r>
              <w:rPr>
                <w:sz w:val="20"/>
                <w:szCs w:val="20"/>
              </w:rPr>
              <w:t>See Lennox</w:t>
            </w:r>
          </w:p>
        </w:tc>
      </w:tr>
      <w:tr w:rsidR="00EE677F" w14:paraId="6648DF92" w14:textId="77777777" w:rsidTr="005157FC">
        <w:trPr>
          <w:jc w:val="center"/>
        </w:trPr>
        <w:tc>
          <w:tcPr>
            <w:tcW w:w="1652" w:type="pct"/>
          </w:tcPr>
          <w:p w14:paraId="6465DE16" w14:textId="77777777" w:rsidR="00EE677F" w:rsidRDefault="00D135FE">
            <w:pPr>
              <w:rPr>
                <w:sz w:val="20"/>
                <w:szCs w:val="20"/>
              </w:rPr>
            </w:pPr>
            <w:r>
              <w:rPr>
                <w:sz w:val="20"/>
                <w:szCs w:val="20"/>
              </w:rPr>
              <w:t>Carrier Corporation</w:t>
            </w:r>
          </w:p>
        </w:tc>
        <w:tc>
          <w:tcPr>
            <w:tcW w:w="1256" w:type="pct"/>
          </w:tcPr>
          <w:p w14:paraId="3305CC22" w14:textId="77777777" w:rsidR="00EE677F" w:rsidRDefault="00D135FE">
            <w:pPr>
              <w:rPr>
                <w:sz w:val="20"/>
                <w:szCs w:val="20"/>
              </w:rPr>
            </w:pPr>
            <w:r>
              <w:rPr>
                <w:sz w:val="20"/>
                <w:szCs w:val="20"/>
              </w:rPr>
              <w:t>United Technologies</w:t>
            </w:r>
          </w:p>
        </w:tc>
        <w:tc>
          <w:tcPr>
            <w:tcW w:w="951" w:type="pct"/>
          </w:tcPr>
          <w:p w14:paraId="0074FB8A" w14:textId="77777777" w:rsidR="00EE677F" w:rsidRDefault="00D135FE">
            <w:pPr>
              <w:rPr>
                <w:sz w:val="20"/>
                <w:szCs w:val="20"/>
              </w:rPr>
            </w:pPr>
            <w:r>
              <w:rPr>
                <w:sz w:val="20"/>
                <w:szCs w:val="20"/>
              </w:rPr>
              <w:t>32%</w:t>
            </w:r>
          </w:p>
        </w:tc>
        <w:tc>
          <w:tcPr>
            <w:tcW w:w="1141" w:type="pct"/>
          </w:tcPr>
          <w:p w14:paraId="22E27FAD" w14:textId="77777777" w:rsidR="00EE677F" w:rsidRDefault="00D135FE">
            <w:pPr>
              <w:rPr>
                <w:sz w:val="20"/>
                <w:szCs w:val="20"/>
              </w:rPr>
            </w:pPr>
            <w:r>
              <w:rPr>
                <w:sz w:val="20"/>
                <w:szCs w:val="20"/>
              </w:rPr>
              <w:t>27%</w:t>
            </w:r>
          </w:p>
        </w:tc>
      </w:tr>
      <w:tr w:rsidR="00EE677F" w14:paraId="2D438FD1" w14:textId="77777777" w:rsidTr="005157FC">
        <w:trPr>
          <w:jc w:val="center"/>
        </w:trPr>
        <w:tc>
          <w:tcPr>
            <w:tcW w:w="1652" w:type="pct"/>
          </w:tcPr>
          <w:p w14:paraId="14B5D393" w14:textId="77777777" w:rsidR="00EE677F" w:rsidRDefault="00D135FE">
            <w:pPr>
              <w:rPr>
                <w:sz w:val="20"/>
                <w:szCs w:val="20"/>
              </w:rPr>
            </w:pPr>
            <w:r>
              <w:rPr>
                <w:sz w:val="20"/>
                <w:szCs w:val="20"/>
              </w:rPr>
              <w:t xml:space="preserve">GD </w:t>
            </w:r>
            <w:proofErr w:type="spellStart"/>
            <w:r>
              <w:rPr>
                <w:sz w:val="20"/>
                <w:szCs w:val="20"/>
              </w:rPr>
              <w:t>Midea</w:t>
            </w:r>
            <w:proofErr w:type="spellEnd"/>
            <w:r>
              <w:rPr>
                <w:sz w:val="20"/>
                <w:szCs w:val="20"/>
              </w:rPr>
              <w:t xml:space="preserve"> Heating &amp; Ventilating Equipment Co., </w:t>
            </w:r>
            <w:proofErr w:type="spellStart"/>
            <w:r>
              <w:rPr>
                <w:sz w:val="20"/>
                <w:szCs w:val="20"/>
              </w:rPr>
              <w:t>LTd</w:t>
            </w:r>
            <w:proofErr w:type="spellEnd"/>
          </w:p>
        </w:tc>
        <w:tc>
          <w:tcPr>
            <w:tcW w:w="1256" w:type="pct"/>
          </w:tcPr>
          <w:p w14:paraId="1E825D03" w14:textId="77777777" w:rsidR="00EE677F" w:rsidRDefault="00D135FE">
            <w:pPr>
              <w:rPr>
                <w:sz w:val="20"/>
                <w:szCs w:val="20"/>
              </w:rPr>
            </w:pPr>
            <w:proofErr w:type="spellStart"/>
            <w:r>
              <w:rPr>
                <w:sz w:val="20"/>
                <w:szCs w:val="20"/>
              </w:rPr>
              <w:t>Midea</w:t>
            </w:r>
            <w:proofErr w:type="spellEnd"/>
            <w:r>
              <w:rPr>
                <w:sz w:val="20"/>
                <w:szCs w:val="20"/>
              </w:rPr>
              <w:t xml:space="preserve"> Group</w:t>
            </w:r>
          </w:p>
        </w:tc>
        <w:tc>
          <w:tcPr>
            <w:tcW w:w="951" w:type="pct"/>
          </w:tcPr>
          <w:p w14:paraId="0A36EED2" w14:textId="77777777" w:rsidR="00EE677F" w:rsidRDefault="00D135FE">
            <w:pPr>
              <w:rPr>
                <w:sz w:val="20"/>
                <w:szCs w:val="20"/>
              </w:rPr>
            </w:pPr>
            <w:r>
              <w:rPr>
                <w:sz w:val="20"/>
                <w:szCs w:val="20"/>
              </w:rPr>
              <w:t>&lt; 1%</w:t>
            </w:r>
          </w:p>
        </w:tc>
        <w:tc>
          <w:tcPr>
            <w:tcW w:w="1141" w:type="pct"/>
            <w:shd w:val="clear" w:color="auto" w:fill="BFBFBF" w:themeFill="background1" w:themeFillShade="BF"/>
          </w:tcPr>
          <w:p w14:paraId="7874A0A3" w14:textId="77777777" w:rsidR="00EE677F" w:rsidRDefault="00D135FE">
            <w:pPr>
              <w:rPr>
                <w:sz w:val="20"/>
                <w:szCs w:val="20"/>
              </w:rPr>
            </w:pPr>
            <w:r>
              <w:rPr>
                <w:sz w:val="20"/>
                <w:szCs w:val="20"/>
              </w:rPr>
              <w:t>-</w:t>
            </w:r>
          </w:p>
        </w:tc>
      </w:tr>
      <w:tr w:rsidR="00EE677F" w14:paraId="3DE3A970" w14:textId="77777777" w:rsidTr="005157FC">
        <w:trPr>
          <w:jc w:val="center"/>
        </w:trPr>
        <w:tc>
          <w:tcPr>
            <w:tcW w:w="1652" w:type="pct"/>
          </w:tcPr>
          <w:p w14:paraId="13F10F7C" w14:textId="77777777" w:rsidR="00EE677F" w:rsidRDefault="00D135FE">
            <w:pPr>
              <w:rPr>
                <w:sz w:val="20"/>
                <w:szCs w:val="20"/>
              </w:rPr>
            </w:pPr>
            <w:r>
              <w:rPr>
                <w:sz w:val="20"/>
                <w:szCs w:val="20"/>
              </w:rPr>
              <w:t>Goodman Manufacturing</w:t>
            </w:r>
          </w:p>
        </w:tc>
        <w:tc>
          <w:tcPr>
            <w:tcW w:w="1256" w:type="pct"/>
          </w:tcPr>
          <w:p w14:paraId="21EBB142" w14:textId="77777777" w:rsidR="00EE677F" w:rsidRDefault="00D135FE">
            <w:pPr>
              <w:rPr>
                <w:sz w:val="20"/>
                <w:szCs w:val="20"/>
              </w:rPr>
            </w:pPr>
            <w:r>
              <w:rPr>
                <w:sz w:val="20"/>
                <w:szCs w:val="20"/>
              </w:rPr>
              <w:t>Daikin</w:t>
            </w:r>
          </w:p>
        </w:tc>
        <w:tc>
          <w:tcPr>
            <w:tcW w:w="951" w:type="pct"/>
          </w:tcPr>
          <w:p w14:paraId="69FC0711" w14:textId="77777777" w:rsidR="00EE677F" w:rsidRDefault="00D135FE">
            <w:pPr>
              <w:rPr>
                <w:sz w:val="20"/>
                <w:szCs w:val="20"/>
              </w:rPr>
            </w:pPr>
            <w:r>
              <w:rPr>
                <w:sz w:val="20"/>
                <w:szCs w:val="20"/>
              </w:rPr>
              <w:t>15%</w:t>
            </w:r>
          </w:p>
        </w:tc>
        <w:tc>
          <w:tcPr>
            <w:tcW w:w="1141" w:type="pct"/>
          </w:tcPr>
          <w:p w14:paraId="04A80C11" w14:textId="77777777" w:rsidR="00EE677F" w:rsidRDefault="00D135FE">
            <w:pPr>
              <w:rPr>
                <w:sz w:val="20"/>
                <w:szCs w:val="20"/>
              </w:rPr>
            </w:pPr>
            <w:r>
              <w:rPr>
                <w:sz w:val="20"/>
                <w:szCs w:val="20"/>
              </w:rPr>
              <w:t>14%</w:t>
            </w:r>
          </w:p>
        </w:tc>
      </w:tr>
      <w:tr w:rsidR="00EE677F" w14:paraId="0B63C966" w14:textId="77777777" w:rsidTr="005157FC">
        <w:trPr>
          <w:jc w:val="center"/>
        </w:trPr>
        <w:tc>
          <w:tcPr>
            <w:tcW w:w="1652" w:type="pct"/>
          </w:tcPr>
          <w:p w14:paraId="61E80F8B" w14:textId="77777777" w:rsidR="00EE677F" w:rsidRDefault="00D135FE">
            <w:pPr>
              <w:rPr>
                <w:sz w:val="20"/>
                <w:szCs w:val="20"/>
              </w:rPr>
            </w:pPr>
            <w:r>
              <w:rPr>
                <w:sz w:val="20"/>
                <w:szCs w:val="20"/>
              </w:rPr>
              <w:t>International Comfort Products</w:t>
            </w:r>
          </w:p>
        </w:tc>
        <w:tc>
          <w:tcPr>
            <w:tcW w:w="1256" w:type="pct"/>
          </w:tcPr>
          <w:p w14:paraId="1EA929E1" w14:textId="77777777" w:rsidR="00EE677F" w:rsidRDefault="00D135FE">
            <w:pPr>
              <w:rPr>
                <w:sz w:val="20"/>
                <w:szCs w:val="20"/>
              </w:rPr>
            </w:pPr>
            <w:r>
              <w:rPr>
                <w:sz w:val="20"/>
                <w:szCs w:val="20"/>
              </w:rPr>
              <w:t>United Technologies</w:t>
            </w:r>
          </w:p>
        </w:tc>
        <w:tc>
          <w:tcPr>
            <w:tcW w:w="951" w:type="pct"/>
          </w:tcPr>
          <w:p w14:paraId="5AB8632B" w14:textId="77777777" w:rsidR="00EE677F" w:rsidRDefault="00D135FE">
            <w:pPr>
              <w:rPr>
                <w:sz w:val="20"/>
                <w:szCs w:val="20"/>
              </w:rPr>
            </w:pPr>
            <w:r>
              <w:rPr>
                <w:sz w:val="20"/>
                <w:szCs w:val="20"/>
              </w:rPr>
              <w:t>See Carrier</w:t>
            </w:r>
          </w:p>
        </w:tc>
        <w:tc>
          <w:tcPr>
            <w:tcW w:w="1141" w:type="pct"/>
          </w:tcPr>
          <w:p w14:paraId="6EC15EEE" w14:textId="77777777" w:rsidR="00EE677F" w:rsidRDefault="00D135FE">
            <w:pPr>
              <w:rPr>
                <w:sz w:val="20"/>
                <w:szCs w:val="20"/>
              </w:rPr>
            </w:pPr>
            <w:r>
              <w:rPr>
                <w:sz w:val="20"/>
                <w:szCs w:val="20"/>
              </w:rPr>
              <w:t>See Carrier</w:t>
            </w:r>
          </w:p>
        </w:tc>
      </w:tr>
      <w:tr w:rsidR="00EE677F" w14:paraId="520F4F33" w14:textId="77777777" w:rsidTr="005157FC">
        <w:trPr>
          <w:jc w:val="center"/>
        </w:trPr>
        <w:tc>
          <w:tcPr>
            <w:tcW w:w="1652" w:type="pct"/>
          </w:tcPr>
          <w:p w14:paraId="0E320821" w14:textId="77777777" w:rsidR="00EE677F" w:rsidRDefault="00D135FE">
            <w:pPr>
              <w:rPr>
                <w:sz w:val="20"/>
                <w:szCs w:val="20"/>
              </w:rPr>
            </w:pPr>
            <w:r>
              <w:rPr>
                <w:sz w:val="20"/>
                <w:szCs w:val="20"/>
              </w:rPr>
              <w:t>Lennox Industries</w:t>
            </w:r>
          </w:p>
        </w:tc>
        <w:tc>
          <w:tcPr>
            <w:tcW w:w="1256" w:type="pct"/>
          </w:tcPr>
          <w:p w14:paraId="306E84B3" w14:textId="77777777" w:rsidR="00EE677F" w:rsidRDefault="00D135FE">
            <w:pPr>
              <w:rPr>
                <w:sz w:val="20"/>
                <w:szCs w:val="20"/>
              </w:rPr>
            </w:pPr>
            <w:r>
              <w:rPr>
                <w:sz w:val="20"/>
                <w:szCs w:val="20"/>
              </w:rPr>
              <w:t>Lennox International</w:t>
            </w:r>
          </w:p>
        </w:tc>
        <w:tc>
          <w:tcPr>
            <w:tcW w:w="951" w:type="pct"/>
          </w:tcPr>
          <w:p w14:paraId="1AE58F09" w14:textId="77777777" w:rsidR="00EE677F" w:rsidRDefault="00D135FE">
            <w:pPr>
              <w:rPr>
                <w:sz w:val="20"/>
                <w:szCs w:val="20"/>
              </w:rPr>
            </w:pPr>
            <w:r>
              <w:rPr>
                <w:sz w:val="20"/>
                <w:szCs w:val="20"/>
              </w:rPr>
              <w:t>13%</w:t>
            </w:r>
          </w:p>
        </w:tc>
        <w:tc>
          <w:tcPr>
            <w:tcW w:w="1141" w:type="pct"/>
          </w:tcPr>
          <w:p w14:paraId="73AD1519" w14:textId="77777777" w:rsidR="00EE677F" w:rsidRDefault="00D135FE">
            <w:pPr>
              <w:rPr>
                <w:sz w:val="20"/>
                <w:szCs w:val="20"/>
              </w:rPr>
            </w:pPr>
            <w:r>
              <w:rPr>
                <w:sz w:val="20"/>
                <w:szCs w:val="20"/>
              </w:rPr>
              <w:t>12%</w:t>
            </w:r>
          </w:p>
        </w:tc>
      </w:tr>
      <w:tr w:rsidR="00EE677F" w14:paraId="2678F54A" w14:textId="77777777" w:rsidTr="005157FC">
        <w:trPr>
          <w:jc w:val="center"/>
        </w:trPr>
        <w:tc>
          <w:tcPr>
            <w:tcW w:w="1652" w:type="pct"/>
          </w:tcPr>
          <w:p w14:paraId="305E3FC1" w14:textId="77777777" w:rsidR="00EE677F" w:rsidRDefault="00D135FE">
            <w:pPr>
              <w:rPr>
                <w:sz w:val="20"/>
                <w:szCs w:val="20"/>
              </w:rPr>
            </w:pPr>
            <w:proofErr w:type="spellStart"/>
            <w:r>
              <w:rPr>
                <w:sz w:val="20"/>
                <w:szCs w:val="20"/>
              </w:rPr>
              <w:t>Nordyne</w:t>
            </w:r>
            <w:proofErr w:type="spellEnd"/>
            <w:r>
              <w:rPr>
                <w:sz w:val="20"/>
                <w:szCs w:val="20"/>
              </w:rPr>
              <w:t>, LLC</w:t>
            </w:r>
          </w:p>
        </w:tc>
        <w:tc>
          <w:tcPr>
            <w:tcW w:w="1256" w:type="pct"/>
          </w:tcPr>
          <w:p w14:paraId="2AC09BFE" w14:textId="77777777" w:rsidR="00EE677F" w:rsidRDefault="00D135FE">
            <w:pPr>
              <w:rPr>
                <w:sz w:val="20"/>
                <w:szCs w:val="20"/>
              </w:rPr>
            </w:pPr>
            <w:r>
              <w:rPr>
                <w:sz w:val="20"/>
                <w:szCs w:val="20"/>
              </w:rPr>
              <w:t>Nortek</w:t>
            </w:r>
          </w:p>
        </w:tc>
        <w:tc>
          <w:tcPr>
            <w:tcW w:w="951" w:type="pct"/>
          </w:tcPr>
          <w:p w14:paraId="3A2D20B0" w14:textId="77777777" w:rsidR="00EE677F" w:rsidRDefault="00D135FE">
            <w:pPr>
              <w:rPr>
                <w:sz w:val="20"/>
                <w:szCs w:val="20"/>
              </w:rPr>
            </w:pPr>
            <w:r>
              <w:rPr>
                <w:sz w:val="20"/>
                <w:szCs w:val="20"/>
              </w:rPr>
              <w:t>5%</w:t>
            </w:r>
          </w:p>
        </w:tc>
        <w:tc>
          <w:tcPr>
            <w:tcW w:w="1141" w:type="pct"/>
          </w:tcPr>
          <w:p w14:paraId="704BC95D" w14:textId="77777777" w:rsidR="00EE677F" w:rsidRDefault="00D135FE">
            <w:pPr>
              <w:rPr>
                <w:sz w:val="20"/>
                <w:szCs w:val="20"/>
              </w:rPr>
            </w:pPr>
            <w:r>
              <w:rPr>
                <w:sz w:val="20"/>
                <w:szCs w:val="20"/>
              </w:rPr>
              <w:t>9%</w:t>
            </w:r>
          </w:p>
        </w:tc>
      </w:tr>
      <w:tr w:rsidR="00EE677F" w14:paraId="38707239" w14:textId="77777777" w:rsidTr="005157FC">
        <w:trPr>
          <w:jc w:val="center"/>
        </w:trPr>
        <w:tc>
          <w:tcPr>
            <w:tcW w:w="1652" w:type="pct"/>
          </w:tcPr>
          <w:p w14:paraId="0966DF25" w14:textId="77777777" w:rsidR="00EE677F" w:rsidRDefault="00D135FE">
            <w:pPr>
              <w:rPr>
                <w:sz w:val="20"/>
                <w:szCs w:val="20"/>
              </w:rPr>
            </w:pPr>
            <w:proofErr w:type="spellStart"/>
            <w:r>
              <w:rPr>
                <w:sz w:val="20"/>
                <w:szCs w:val="20"/>
              </w:rPr>
              <w:t>Rheem</w:t>
            </w:r>
            <w:proofErr w:type="spellEnd"/>
            <w:r>
              <w:rPr>
                <w:sz w:val="20"/>
                <w:szCs w:val="20"/>
              </w:rPr>
              <w:t xml:space="preserve"> </w:t>
            </w:r>
          </w:p>
        </w:tc>
        <w:tc>
          <w:tcPr>
            <w:tcW w:w="1256" w:type="pct"/>
          </w:tcPr>
          <w:p w14:paraId="4A8B37F4" w14:textId="77777777" w:rsidR="00EE677F" w:rsidRDefault="00D135FE">
            <w:pPr>
              <w:rPr>
                <w:sz w:val="20"/>
                <w:szCs w:val="20"/>
              </w:rPr>
            </w:pPr>
            <w:r>
              <w:rPr>
                <w:sz w:val="20"/>
                <w:szCs w:val="20"/>
              </w:rPr>
              <w:t>Paloma Group</w:t>
            </w:r>
          </w:p>
        </w:tc>
        <w:tc>
          <w:tcPr>
            <w:tcW w:w="951" w:type="pct"/>
          </w:tcPr>
          <w:p w14:paraId="59EE573E" w14:textId="77777777" w:rsidR="00EE677F" w:rsidRDefault="00D135FE">
            <w:pPr>
              <w:rPr>
                <w:sz w:val="20"/>
                <w:szCs w:val="20"/>
              </w:rPr>
            </w:pPr>
            <w:r>
              <w:rPr>
                <w:sz w:val="20"/>
                <w:szCs w:val="20"/>
              </w:rPr>
              <w:t>12%</w:t>
            </w:r>
          </w:p>
        </w:tc>
        <w:tc>
          <w:tcPr>
            <w:tcW w:w="1141" w:type="pct"/>
          </w:tcPr>
          <w:p w14:paraId="2795C9EE" w14:textId="77777777" w:rsidR="00EE677F" w:rsidRDefault="00D135FE">
            <w:pPr>
              <w:rPr>
                <w:sz w:val="20"/>
                <w:szCs w:val="20"/>
              </w:rPr>
            </w:pPr>
            <w:r>
              <w:rPr>
                <w:sz w:val="20"/>
                <w:szCs w:val="20"/>
              </w:rPr>
              <w:t>12%</w:t>
            </w:r>
          </w:p>
        </w:tc>
      </w:tr>
      <w:tr w:rsidR="00EE677F" w14:paraId="06AD2C7F" w14:textId="77777777" w:rsidTr="005157FC">
        <w:trPr>
          <w:jc w:val="center"/>
        </w:trPr>
        <w:tc>
          <w:tcPr>
            <w:tcW w:w="1652" w:type="pct"/>
          </w:tcPr>
          <w:p w14:paraId="4CDAC87A" w14:textId="77777777" w:rsidR="00EE677F" w:rsidRDefault="00D135FE">
            <w:pPr>
              <w:rPr>
                <w:sz w:val="20"/>
                <w:szCs w:val="20"/>
              </w:rPr>
            </w:pPr>
            <w:r>
              <w:rPr>
                <w:sz w:val="20"/>
                <w:szCs w:val="20"/>
              </w:rPr>
              <w:t>Texas Furnace</w:t>
            </w:r>
          </w:p>
        </w:tc>
        <w:tc>
          <w:tcPr>
            <w:tcW w:w="1256" w:type="pct"/>
          </w:tcPr>
          <w:p w14:paraId="0049CD03" w14:textId="77777777" w:rsidR="00EE677F" w:rsidRDefault="00D135FE">
            <w:pPr>
              <w:rPr>
                <w:sz w:val="20"/>
                <w:szCs w:val="20"/>
              </w:rPr>
            </w:pPr>
            <w:proofErr w:type="spellStart"/>
            <w:r>
              <w:rPr>
                <w:sz w:val="20"/>
                <w:szCs w:val="20"/>
              </w:rPr>
              <w:t>AllStyle</w:t>
            </w:r>
            <w:proofErr w:type="spellEnd"/>
            <w:r>
              <w:rPr>
                <w:sz w:val="20"/>
                <w:szCs w:val="20"/>
              </w:rPr>
              <w:t xml:space="preserve"> Coil</w:t>
            </w:r>
          </w:p>
        </w:tc>
        <w:tc>
          <w:tcPr>
            <w:tcW w:w="951" w:type="pct"/>
          </w:tcPr>
          <w:p w14:paraId="2A4A93A7" w14:textId="77777777" w:rsidR="00EE677F" w:rsidRDefault="00D135FE">
            <w:pPr>
              <w:rPr>
                <w:sz w:val="20"/>
                <w:szCs w:val="20"/>
              </w:rPr>
            </w:pPr>
            <w:r>
              <w:rPr>
                <w:sz w:val="20"/>
                <w:szCs w:val="20"/>
              </w:rPr>
              <w:t>&lt; 1%</w:t>
            </w:r>
          </w:p>
        </w:tc>
        <w:tc>
          <w:tcPr>
            <w:tcW w:w="1141" w:type="pct"/>
            <w:shd w:val="clear" w:color="auto" w:fill="BFBFBF" w:themeFill="background1" w:themeFillShade="BF"/>
          </w:tcPr>
          <w:p w14:paraId="0A0F43EA" w14:textId="77777777" w:rsidR="00EE677F" w:rsidRDefault="00D135FE">
            <w:pPr>
              <w:rPr>
                <w:sz w:val="20"/>
                <w:szCs w:val="20"/>
              </w:rPr>
            </w:pPr>
            <w:r>
              <w:rPr>
                <w:sz w:val="20"/>
                <w:szCs w:val="20"/>
              </w:rPr>
              <w:t>-</w:t>
            </w:r>
          </w:p>
        </w:tc>
      </w:tr>
      <w:tr w:rsidR="00EE677F" w14:paraId="08C2CA91" w14:textId="77777777" w:rsidTr="005157FC">
        <w:trPr>
          <w:jc w:val="center"/>
        </w:trPr>
        <w:tc>
          <w:tcPr>
            <w:tcW w:w="1652" w:type="pct"/>
          </w:tcPr>
          <w:p w14:paraId="3C90B85D" w14:textId="77777777" w:rsidR="00EE677F" w:rsidRDefault="00D135FE">
            <w:pPr>
              <w:rPr>
                <w:sz w:val="20"/>
                <w:szCs w:val="20"/>
              </w:rPr>
            </w:pPr>
            <w:r>
              <w:rPr>
                <w:sz w:val="20"/>
                <w:szCs w:val="20"/>
              </w:rPr>
              <w:t>Trane</w:t>
            </w:r>
          </w:p>
        </w:tc>
        <w:tc>
          <w:tcPr>
            <w:tcW w:w="1256" w:type="pct"/>
          </w:tcPr>
          <w:p w14:paraId="16FD926B" w14:textId="77777777" w:rsidR="00EE677F" w:rsidRDefault="00D135FE">
            <w:pPr>
              <w:rPr>
                <w:sz w:val="20"/>
                <w:szCs w:val="20"/>
              </w:rPr>
            </w:pPr>
            <w:r>
              <w:rPr>
                <w:sz w:val="20"/>
                <w:szCs w:val="20"/>
              </w:rPr>
              <w:t>Ingersoll Rand</w:t>
            </w:r>
          </w:p>
        </w:tc>
        <w:tc>
          <w:tcPr>
            <w:tcW w:w="951" w:type="pct"/>
          </w:tcPr>
          <w:p w14:paraId="18E6C30D" w14:textId="77777777" w:rsidR="00EE677F" w:rsidRDefault="00D135FE">
            <w:pPr>
              <w:rPr>
                <w:sz w:val="20"/>
                <w:szCs w:val="20"/>
              </w:rPr>
            </w:pPr>
            <w:r>
              <w:rPr>
                <w:sz w:val="20"/>
                <w:szCs w:val="20"/>
              </w:rPr>
              <w:t>13%</w:t>
            </w:r>
          </w:p>
        </w:tc>
        <w:tc>
          <w:tcPr>
            <w:tcW w:w="1141" w:type="pct"/>
          </w:tcPr>
          <w:p w14:paraId="67D59BB1" w14:textId="77777777" w:rsidR="00EE677F" w:rsidRDefault="00D135FE">
            <w:pPr>
              <w:rPr>
                <w:sz w:val="20"/>
                <w:szCs w:val="20"/>
              </w:rPr>
            </w:pPr>
            <w:r>
              <w:rPr>
                <w:sz w:val="20"/>
                <w:szCs w:val="20"/>
              </w:rPr>
              <w:t>14%</w:t>
            </w:r>
          </w:p>
        </w:tc>
      </w:tr>
      <w:tr w:rsidR="00EE677F" w14:paraId="22E7F0D5" w14:textId="77777777" w:rsidTr="005157FC">
        <w:trPr>
          <w:jc w:val="center"/>
        </w:trPr>
        <w:tc>
          <w:tcPr>
            <w:tcW w:w="1652" w:type="pct"/>
          </w:tcPr>
          <w:p w14:paraId="33E1DA6B" w14:textId="77777777" w:rsidR="00EE677F" w:rsidRDefault="00D135FE">
            <w:pPr>
              <w:rPr>
                <w:sz w:val="20"/>
                <w:szCs w:val="20"/>
              </w:rPr>
            </w:pPr>
            <w:r>
              <w:rPr>
                <w:sz w:val="20"/>
                <w:szCs w:val="20"/>
              </w:rPr>
              <w:t>Wolf Steele</w:t>
            </w:r>
          </w:p>
        </w:tc>
        <w:tc>
          <w:tcPr>
            <w:tcW w:w="1256" w:type="pct"/>
          </w:tcPr>
          <w:p w14:paraId="7A85081E" w14:textId="77777777" w:rsidR="00EE677F" w:rsidRDefault="00D135FE">
            <w:pPr>
              <w:rPr>
                <w:sz w:val="20"/>
                <w:szCs w:val="20"/>
              </w:rPr>
            </w:pPr>
            <w:proofErr w:type="spellStart"/>
            <w:r>
              <w:rPr>
                <w:sz w:val="20"/>
                <w:szCs w:val="20"/>
              </w:rPr>
              <w:t>Napolean</w:t>
            </w:r>
            <w:proofErr w:type="spellEnd"/>
            <w:r>
              <w:rPr>
                <w:sz w:val="20"/>
                <w:szCs w:val="20"/>
              </w:rPr>
              <w:t xml:space="preserve"> Systems</w:t>
            </w:r>
          </w:p>
        </w:tc>
        <w:tc>
          <w:tcPr>
            <w:tcW w:w="951" w:type="pct"/>
          </w:tcPr>
          <w:p w14:paraId="5C957184" w14:textId="77777777" w:rsidR="00EE677F" w:rsidRDefault="00D135FE">
            <w:pPr>
              <w:rPr>
                <w:sz w:val="20"/>
                <w:szCs w:val="20"/>
              </w:rPr>
            </w:pPr>
            <w:r>
              <w:rPr>
                <w:sz w:val="20"/>
                <w:szCs w:val="20"/>
              </w:rPr>
              <w:t>&lt; 1%</w:t>
            </w:r>
          </w:p>
        </w:tc>
        <w:tc>
          <w:tcPr>
            <w:tcW w:w="1141" w:type="pct"/>
            <w:shd w:val="clear" w:color="auto" w:fill="BFBFBF" w:themeFill="background1" w:themeFillShade="BF"/>
          </w:tcPr>
          <w:p w14:paraId="6C30B04A" w14:textId="77777777" w:rsidR="00EE677F" w:rsidRDefault="00D135FE">
            <w:pPr>
              <w:rPr>
                <w:sz w:val="20"/>
                <w:szCs w:val="20"/>
              </w:rPr>
            </w:pPr>
            <w:r>
              <w:rPr>
                <w:sz w:val="20"/>
                <w:szCs w:val="20"/>
              </w:rPr>
              <w:t>-</w:t>
            </w:r>
          </w:p>
        </w:tc>
      </w:tr>
      <w:tr w:rsidR="00EE677F" w14:paraId="08F0BBE7" w14:textId="77777777" w:rsidTr="005157FC">
        <w:trPr>
          <w:jc w:val="center"/>
        </w:trPr>
        <w:tc>
          <w:tcPr>
            <w:tcW w:w="1652" w:type="pct"/>
          </w:tcPr>
          <w:p w14:paraId="370EEF39" w14:textId="77777777" w:rsidR="00EE677F" w:rsidRDefault="00D135FE">
            <w:pPr>
              <w:rPr>
                <w:sz w:val="20"/>
                <w:szCs w:val="20"/>
              </w:rPr>
            </w:pPr>
            <w:r>
              <w:rPr>
                <w:sz w:val="20"/>
                <w:szCs w:val="20"/>
              </w:rPr>
              <w:t>York International</w:t>
            </w:r>
          </w:p>
        </w:tc>
        <w:tc>
          <w:tcPr>
            <w:tcW w:w="1256" w:type="pct"/>
          </w:tcPr>
          <w:p w14:paraId="52FC415C" w14:textId="77777777" w:rsidR="00EE677F" w:rsidRDefault="00D135FE">
            <w:pPr>
              <w:rPr>
                <w:sz w:val="20"/>
                <w:szCs w:val="20"/>
              </w:rPr>
            </w:pPr>
            <w:r>
              <w:rPr>
                <w:sz w:val="20"/>
                <w:szCs w:val="20"/>
              </w:rPr>
              <w:t>Johnson Controls</w:t>
            </w:r>
          </w:p>
        </w:tc>
        <w:tc>
          <w:tcPr>
            <w:tcW w:w="951" w:type="pct"/>
          </w:tcPr>
          <w:p w14:paraId="32645697" w14:textId="77777777" w:rsidR="00EE677F" w:rsidRDefault="00D135FE">
            <w:pPr>
              <w:rPr>
                <w:sz w:val="20"/>
                <w:szCs w:val="20"/>
              </w:rPr>
            </w:pPr>
            <w:r>
              <w:rPr>
                <w:sz w:val="20"/>
                <w:szCs w:val="20"/>
              </w:rPr>
              <w:t>9%</w:t>
            </w:r>
          </w:p>
        </w:tc>
        <w:tc>
          <w:tcPr>
            <w:tcW w:w="1141" w:type="pct"/>
          </w:tcPr>
          <w:p w14:paraId="4E5AB579" w14:textId="77777777" w:rsidR="00EE677F" w:rsidRDefault="00D135FE">
            <w:pPr>
              <w:rPr>
                <w:sz w:val="20"/>
                <w:szCs w:val="20"/>
              </w:rPr>
            </w:pPr>
            <w:r>
              <w:rPr>
                <w:sz w:val="20"/>
                <w:szCs w:val="20"/>
              </w:rPr>
              <w:t>9%</w:t>
            </w:r>
          </w:p>
        </w:tc>
      </w:tr>
      <w:tr w:rsidR="00EE677F" w14:paraId="18CA6CD2" w14:textId="77777777" w:rsidTr="005157FC">
        <w:trPr>
          <w:jc w:val="center"/>
        </w:trPr>
        <w:tc>
          <w:tcPr>
            <w:tcW w:w="2909" w:type="pct"/>
            <w:gridSpan w:val="2"/>
          </w:tcPr>
          <w:p w14:paraId="16653156" w14:textId="77777777" w:rsidR="00EE677F" w:rsidRDefault="00D135FE">
            <w:pPr>
              <w:rPr>
                <w:sz w:val="20"/>
                <w:szCs w:val="20"/>
              </w:rPr>
            </w:pPr>
            <w:r>
              <w:rPr>
                <w:b/>
                <w:sz w:val="20"/>
                <w:szCs w:val="20"/>
              </w:rPr>
              <w:t>Total</w:t>
            </w:r>
          </w:p>
        </w:tc>
        <w:tc>
          <w:tcPr>
            <w:tcW w:w="951" w:type="pct"/>
          </w:tcPr>
          <w:p w14:paraId="43226E5C" w14:textId="77777777" w:rsidR="00EE677F" w:rsidRDefault="00D135FE">
            <w:pPr>
              <w:rPr>
                <w:sz w:val="20"/>
                <w:szCs w:val="20"/>
              </w:rPr>
            </w:pPr>
            <w:r>
              <w:rPr>
                <w:sz w:val="20"/>
                <w:szCs w:val="20"/>
              </w:rPr>
              <w:t>99%</w:t>
            </w:r>
          </w:p>
        </w:tc>
        <w:tc>
          <w:tcPr>
            <w:tcW w:w="1141" w:type="pct"/>
          </w:tcPr>
          <w:p w14:paraId="1AF08927" w14:textId="77777777" w:rsidR="00EE677F" w:rsidRDefault="00D135FE">
            <w:pPr>
              <w:rPr>
                <w:sz w:val="20"/>
                <w:szCs w:val="20"/>
              </w:rPr>
            </w:pPr>
            <w:r>
              <w:rPr>
                <w:sz w:val="20"/>
                <w:szCs w:val="20"/>
              </w:rPr>
              <w:t>97%</w:t>
            </w:r>
          </w:p>
        </w:tc>
      </w:tr>
    </w:tbl>
    <w:p w14:paraId="28BD6AFD" w14:textId="77777777" w:rsidR="00EE677F" w:rsidRDefault="00D135FE">
      <w:pPr>
        <w:pStyle w:val="Heading2"/>
        <w:numPr>
          <w:ilvl w:val="0"/>
          <w:numId w:val="48"/>
        </w:numPr>
      </w:pPr>
      <w:r>
        <w:t>Savings discontinuity from 92% to 95% AFUE</w:t>
      </w:r>
    </w:p>
    <w:p w14:paraId="05BE3651" w14:textId="3BA7CB28" w:rsidR="00D135FE" w:rsidRDefault="00D135FE" w:rsidP="00D135FE">
      <w:r>
        <w:t xml:space="preserve">The following table provides the </w:t>
      </w:r>
      <w:r w:rsidR="00142EFC">
        <w:t xml:space="preserve">DOE </w:t>
      </w:r>
      <w:r>
        <w:t>estimated first-year energy natur</w:t>
      </w:r>
      <w:r w:rsidR="00142EFC">
        <w:t>al gas savings for California</w:t>
      </w:r>
      <w:commentRangeStart w:id="56"/>
      <w:r w:rsidR="00142EFC">
        <w:t>.</w:t>
      </w:r>
      <w:commentRangeEnd w:id="56"/>
      <w:r w:rsidR="00142EFC">
        <w:rPr>
          <w:rStyle w:val="CommentReference"/>
        </w:rPr>
        <w:commentReference w:id="56"/>
      </w:r>
      <w:r>
        <w:t xml:space="preserve"> </w:t>
      </w:r>
    </w:p>
    <w:tbl>
      <w:tblPr>
        <w:tblStyle w:val="TableGrid"/>
        <w:tblW w:w="0" w:type="auto"/>
        <w:tblInd w:w="180" w:type="dxa"/>
        <w:tblLook w:val="04A0" w:firstRow="1" w:lastRow="0" w:firstColumn="1" w:lastColumn="0" w:noHBand="0" w:noVBand="1"/>
      </w:tblPr>
      <w:tblGrid>
        <w:gridCol w:w="3685"/>
        <w:gridCol w:w="1260"/>
        <w:gridCol w:w="1260"/>
        <w:gridCol w:w="990"/>
        <w:gridCol w:w="990"/>
        <w:gridCol w:w="985"/>
      </w:tblGrid>
      <w:tr w:rsidR="00D135FE" w14:paraId="26A2AB26" w14:textId="77777777" w:rsidTr="005157FC">
        <w:tc>
          <w:tcPr>
            <w:tcW w:w="3685" w:type="dxa"/>
          </w:tcPr>
          <w:p w14:paraId="6D36830F" w14:textId="77777777" w:rsidR="00D135FE" w:rsidRPr="00C229AE" w:rsidRDefault="00D135FE" w:rsidP="00094373">
            <w:pPr>
              <w:keepNext/>
              <w:keepLines/>
              <w:ind w:left="0"/>
              <w:rPr>
                <w:b/>
              </w:rPr>
              <w:pPrChange w:id="57" w:author="Marshall B. Hunt" w:date="2015-07-05T17:07:00Z">
                <w:pPr>
                  <w:ind w:left="0"/>
                </w:pPr>
              </w:pPrChange>
            </w:pPr>
            <w:r w:rsidRPr="00C229AE">
              <w:rPr>
                <w:b/>
              </w:rPr>
              <w:lastRenderedPageBreak/>
              <w:t>TSL</w:t>
            </w:r>
          </w:p>
        </w:tc>
        <w:tc>
          <w:tcPr>
            <w:tcW w:w="1260" w:type="dxa"/>
          </w:tcPr>
          <w:p w14:paraId="5F4EDB25" w14:textId="77777777" w:rsidR="00D135FE" w:rsidRPr="00C229AE" w:rsidRDefault="00D135FE" w:rsidP="00094373">
            <w:pPr>
              <w:keepNext/>
              <w:keepLines/>
              <w:ind w:left="0"/>
              <w:jc w:val="center"/>
              <w:rPr>
                <w:b/>
              </w:rPr>
              <w:pPrChange w:id="58" w:author="Marshall B. Hunt" w:date="2015-07-05T17:07:00Z">
                <w:pPr>
                  <w:ind w:left="0"/>
                  <w:jc w:val="center"/>
                </w:pPr>
              </w:pPrChange>
            </w:pPr>
            <w:r w:rsidRPr="00C229AE">
              <w:rPr>
                <w:b/>
              </w:rPr>
              <w:t>1</w:t>
            </w:r>
          </w:p>
        </w:tc>
        <w:tc>
          <w:tcPr>
            <w:tcW w:w="1260" w:type="dxa"/>
          </w:tcPr>
          <w:p w14:paraId="6F3A0EA7" w14:textId="77777777" w:rsidR="00D135FE" w:rsidRPr="00C229AE" w:rsidRDefault="00D135FE" w:rsidP="00094373">
            <w:pPr>
              <w:keepNext/>
              <w:keepLines/>
              <w:ind w:left="0"/>
              <w:jc w:val="center"/>
              <w:rPr>
                <w:b/>
              </w:rPr>
              <w:pPrChange w:id="59" w:author="Marshall B. Hunt" w:date="2015-07-05T17:07:00Z">
                <w:pPr>
                  <w:ind w:left="0"/>
                  <w:jc w:val="center"/>
                </w:pPr>
              </w:pPrChange>
            </w:pPr>
            <w:r w:rsidRPr="00C229AE">
              <w:rPr>
                <w:b/>
              </w:rPr>
              <w:t>2</w:t>
            </w:r>
          </w:p>
        </w:tc>
        <w:tc>
          <w:tcPr>
            <w:tcW w:w="990" w:type="dxa"/>
          </w:tcPr>
          <w:p w14:paraId="2151124F" w14:textId="77777777" w:rsidR="00D135FE" w:rsidRPr="00C229AE" w:rsidRDefault="00D135FE" w:rsidP="00094373">
            <w:pPr>
              <w:keepNext/>
              <w:keepLines/>
              <w:ind w:left="0"/>
              <w:jc w:val="center"/>
              <w:rPr>
                <w:b/>
              </w:rPr>
              <w:pPrChange w:id="60" w:author="Marshall B. Hunt" w:date="2015-07-05T17:07:00Z">
                <w:pPr>
                  <w:ind w:left="0"/>
                  <w:jc w:val="center"/>
                </w:pPr>
              </w:pPrChange>
            </w:pPr>
            <w:r w:rsidRPr="00C229AE">
              <w:rPr>
                <w:b/>
              </w:rPr>
              <w:t>3</w:t>
            </w:r>
          </w:p>
        </w:tc>
        <w:tc>
          <w:tcPr>
            <w:tcW w:w="990" w:type="dxa"/>
          </w:tcPr>
          <w:p w14:paraId="3E381B12" w14:textId="77777777" w:rsidR="00D135FE" w:rsidRPr="00C229AE" w:rsidRDefault="00D135FE" w:rsidP="00094373">
            <w:pPr>
              <w:keepNext/>
              <w:keepLines/>
              <w:ind w:left="0"/>
              <w:jc w:val="center"/>
              <w:rPr>
                <w:b/>
              </w:rPr>
              <w:pPrChange w:id="61" w:author="Marshall B. Hunt" w:date="2015-07-05T17:07:00Z">
                <w:pPr>
                  <w:ind w:left="0"/>
                  <w:jc w:val="center"/>
                </w:pPr>
              </w:pPrChange>
            </w:pPr>
            <w:r w:rsidRPr="00C229AE">
              <w:rPr>
                <w:b/>
              </w:rPr>
              <w:t>4</w:t>
            </w:r>
          </w:p>
        </w:tc>
        <w:tc>
          <w:tcPr>
            <w:tcW w:w="985" w:type="dxa"/>
          </w:tcPr>
          <w:p w14:paraId="09734820" w14:textId="77777777" w:rsidR="00D135FE" w:rsidRPr="00C229AE" w:rsidRDefault="00D135FE" w:rsidP="00094373">
            <w:pPr>
              <w:keepNext/>
              <w:keepLines/>
              <w:ind w:left="0"/>
              <w:jc w:val="center"/>
              <w:rPr>
                <w:b/>
              </w:rPr>
              <w:pPrChange w:id="62" w:author="Marshall B. Hunt" w:date="2015-07-05T17:07:00Z">
                <w:pPr>
                  <w:ind w:left="0"/>
                  <w:jc w:val="center"/>
                </w:pPr>
              </w:pPrChange>
            </w:pPr>
            <w:r w:rsidRPr="00C229AE">
              <w:rPr>
                <w:b/>
              </w:rPr>
              <w:t>5</w:t>
            </w:r>
          </w:p>
        </w:tc>
      </w:tr>
      <w:tr w:rsidR="00D135FE" w14:paraId="43276263" w14:textId="77777777" w:rsidTr="005157FC">
        <w:tc>
          <w:tcPr>
            <w:tcW w:w="3685" w:type="dxa"/>
          </w:tcPr>
          <w:p w14:paraId="498C9B22" w14:textId="77777777" w:rsidR="00D135FE" w:rsidRDefault="00D135FE" w:rsidP="00094373">
            <w:pPr>
              <w:keepNext/>
              <w:keepLines/>
              <w:ind w:left="0"/>
              <w:pPrChange w:id="63" w:author="Marshall B. Hunt" w:date="2015-07-05T17:07:00Z">
                <w:pPr>
                  <w:ind w:left="0"/>
                </w:pPr>
              </w:pPrChange>
            </w:pPr>
            <w:r>
              <w:t>AFUE</w:t>
            </w:r>
          </w:p>
        </w:tc>
        <w:tc>
          <w:tcPr>
            <w:tcW w:w="1260" w:type="dxa"/>
          </w:tcPr>
          <w:p w14:paraId="32284863" w14:textId="77777777" w:rsidR="00D135FE" w:rsidRDefault="00D135FE" w:rsidP="00094373">
            <w:pPr>
              <w:keepNext/>
              <w:keepLines/>
              <w:ind w:left="0"/>
              <w:jc w:val="center"/>
              <w:pPrChange w:id="64" w:author="Marshall B. Hunt" w:date="2015-07-05T17:07:00Z">
                <w:pPr>
                  <w:ind w:left="0"/>
                  <w:jc w:val="center"/>
                </w:pPr>
              </w:pPrChange>
            </w:pPr>
            <w:r>
              <w:t>90% North</w:t>
            </w:r>
            <w:r>
              <w:br/>
              <w:t>80% South</w:t>
            </w:r>
          </w:p>
        </w:tc>
        <w:tc>
          <w:tcPr>
            <w:tcW w:w="1260" w:type="dxa"/>
          </w:tcPr>
          <w:p w14:paraId="4E6DBA0F" w14:textId="77777777" w:rsidR="00D135FE" w:rsidRDefault="00D135FE" w:rsidP="00094373">
            <w:pPr>
              <w:keepNext/>
              <w:keepLines/>
              <w:ind w:left="0"/>
              <w:jc w:val="center"/>
              <w:pPrChange w:id="65" w:author="Marshall B. Hunt" w:date="2015-07-05T17:07:00Z">
                <w:pPr>
                  <w:ind w:left="0"/>
                  <w:jc w:val="center"/>
                </w:pPr>
              </w:pPrChange>
            </w:pPr>
            <w:r>
              <w:t>95% North</w:t>
            </w:r>
            <w:r>
              <w:br/>
              <w:t>80% South</w:t>
            </w:r>
          </w:p>
        </w:tc>
        <w:tc>
          <w:tcPr>
            <w:tcW w:w="990" w:type="dxa"/>
          </w:tcPr>
          <w:p w14:paraId="62879ED9" w14:textId="77777777" w:rsidR="00D135FE" w:rsidRDefault="00D135FE" w:rsidP="00094373">
            <w:pPr>
              <w:keepNext/>
              <w:keepLines/>
              <w:ind w:left="0"/>
              <w:jc w:val="center"/>
              <w:pPrChange w:id="66" w:author="Marshall B. Hunt" w:date="2015-07-05T17:07:00Z">
                <w:pPr>
                  <w:ind w:left="0"/>
                  <w:jc w:val="center"/>
                </w:pPr>
              </w:pPrChange>
            </w:pPr>
            <w:r>
              <w:t>92%</w:t>
            </w:r>
            <w:r>
              <w:br/>
              <w:t>National</w:t>
            </w:r>
          </w:p>
        </w:tc>
        <w:tc>
          <w:tcPr>
            <w:tcW w:w="990" w:type="dxa"/>
          </w:tcPr>
          <w:p w14:paraId="07E5DD07" w14:textId="77777777" w:rsidR="00D135FE" w:rsidRDefault="00D135FE" w:rsidP="00094373">
            <w:pPr>
              <w:keepNext/>
              <w:keepLines/>
              <w:ind w:left="0"/>
              <w:jc w:val="center"/>
              <w:pPrChange w:id="67" w:author="Marshall B. Hunt" w:date="2015-07-05T17:07:00Z">
                <w:pPr>
                  <w:ind w:left="0"/>
                  <w:jc w:val="center"/>
                </w:pPr>
              </w:pPrChange>
            </w:pPr>
            <w:r>
              <w:t>95%</w:t>
            </w:r>
            <w:r>
              <w:br/>
              <w:t>National</w:t>
            </w:r>
          </w:p>
        </w:tc>
        <w:tc>
          <w:tcPr>
            <w:tcW w:w="985" w:type="dxa"/>
          </w:tcPr>
          <w:p w14:paraId="185D0221" w14:textId="77777777" w:rsidR="00D135FE" w:rsidRDefault="00D135FE" w:rsidP="00094373">
            <w:pPr>
              <w:keepNext/>
              <w:keepLines/>
              <w:ind w:left="0"/>
              <w:jc w:val="center"/>
              <w:pPrChange w:id="68" w:author="Marshall B. Hunt" w:date="2015-07-05T17:07:00Z">
                <w:pPr>
                  <w:ind w:left="0"/>
                  <w:jc w:val="center"/>
                </w:pPr>
              </w:pPrChange>
            </w:pPr>
            <w:r>
              <w:t>98%</w:t>
            </w:r>
            <w:r>
              <w:br/>
              <w:t>National</w:t>
            </w:r>
          </w:p>
        </w:tc>
      </w:tr>
      <w:tr w:rsidR="00D135FE" w14:paraId="3FD0635F" w14:textId="77777777" w:rsidTr="005157FC">
        <w:tc>
          <w:tcPr>
            <w:tcW w:w="3685" w:type="dxa"/>
          </w:tcPr>
          <w:p w14:paraId="58F644DB" w14:textId="77777777" w:rsidR="00D135FE" w:rsidRDefault="00D135FE" w:rsidP="00094373">
            <w:pPr>
              <w:keepNext/>
              <w:keepLines/>
              <w:ind w:left="0"/>
              <w:pPrChange w:id="69" w:author="Marshall B. Hunt" w:date="2015-07-05T17:07:00Z">
                <w:pPr>
                  <w:ind w:left="0"/>
                </w:pPr>
              </w:pPrChange>
            </w:pPr>
            <w:r>
              <w:t>1</w:t>
            </w:r>
            <w:r w:rsidRPr="00C229AE">
              <w:rPr>
                <w:vertAlign w:val="superscript"/>
              </w:rPr>
              <w:t>st</w:t>
            </w:r>
            <w:r>
              <w:t xml:space="preserve"> year savings (Million </w:t>
            </w:r>
            <w:proofErr w:type="spellStart"/>
            <w:r>
              <w:t>Therm</w:t>
            </w:r>
            <w:proofErr w:type="spellEnd"/>
            <w:r>
              <w:t>)</w:t>
            </w:r>
          </w:p>
        </w:tc>
        <w:tc>
          <w:tcPr>
            <w:tcW w:w="1260" w:type="dxa"/>
          </w:tcPr>
          <w:p w14:paraId="7ABC7E0A" w14:textId="77777777" w:rsidR="00D135FE" w:rsidRDefault="00D135FE" w:rsidP="00094373">
            <w:pPr>
              <w:keepNext/>
              <w:keepLines/>
              <w:ind w:left="0"/>
              <w:jc w:val="center"/>
              <w:pPrChange w:id="70" w:author="Marshall B. Hunt" w:date="2015-07-05T17:07:00Z">
                <w:pPr>
                  <w:ind w:left="0"/>
                  <w:jc w:val="center"/>
                </w:pPr>
              </w:pPrChange>
            </w:pPr>
            <w:r w:rsidRPr="0013299A">
              <w:t>4.5</w:t>
            </w:r>
          </w:p>
        </w:tc>
        <w:tc>
          <w:tcPr>
            <w:tcW w:w="1260" w:type="dxa"/>
          </w:tcPr>
          <w:p w14:paraId="2C3C48D5" w14:textId="77777777" w:rsidR="00D135FE" w:rsidRDefault="00D135FE" w:rsidP="00094373">
            <w:pPr>
              <w:keepNext/>
              <w:keepLines/>
              <w:ind w:left="0"/>
              <w:jc w:val="center"/>
              <w:pPrChange w:id="71" w:author="Marshall B. Hunt" w:date="2015-07-05T17:07:00Z">
                <w:pPr>
                  <w:ind w:left="0"/>
                  <w:jc w:val="center"/>
                </w:pPr>
              </w:pPrChange>
            </w:pPr>
            <w:r w:rsidRPr="0013299A">
              <w:t>6.8</w:t>
            </w:r>
          </w:p>
        </w:tc>
        <w:tc>
          <w:tcPr>
            <w:tcW w:w="990" w:type="dxa"/>
          </w:tcPr>
          <w:p w14:paraId="1FC2EF51" w14:textId="77777777" w:rsidR="00D135FE" w:rsidRDefault="00D135FE" w:rsidP="00094373">
            <w:pPr>
              <w:keepNext/>
              <w:keepLines/>
              <w:ind w:left="0"/>
              <w:jc w:val="center"/>
              <w:pPrChange w:id="72" w:author="Marshall B. Hunt" w:date="2015-07-05T17:07:00Z">
                <w:pPr>
                  <w:ind w:left="0"/>
                  <w:jc w:val="center"/>
                </w:pPr>
              </w:pPrChange>
            </w:pPr>
            <w:r w:rsidRPr="0013299A">
              <w:t>7.2</w:t>
            </w:r>
          </w:p>
        </w:tc>
        <w:tc>
          <w:tcPr>
            <w:tcW w:w="990" w:type="dxa"/>
          </w:tcPr>
          <w:p w14:paraId="1463CB66" w14:textId="77777777" w:rsidR="00D135FE" w:rsidRDefault="00D135FE" w:rsidP="00094373">
            <w:pPr>
              <w:keepNext/>
              <w:keepLines/>
              <w:ind w:left="0"/>
              <w:jc w:val="center"/>
              <w:pPrChange w:id="73" w:author="Marshall B. Hunt" w:date="2015-07-05T17:07:00Z">
                <w:pPr>
                  <w:ind w:left="0"/>
                  <w:jc w:val="center"/>
                </w:pPr>
              </w:pPrChange>
            </w:pPr>
            <w:r w:rsidRPr="0013299A">
              <w:t>9.5</w:t>
            </w:r>
          </w:p>
        </w:tc>
        <w:tc>
          <w:tcPr>
            <w:tcW w:w="985" w:type="dxa"/>
          </w:tcPr>
          <w:p w14:paraId="537EBAC8" w14:textId="77777777" w:rsidR="00D135FE" w:rsidRDefault="00D135FE" w:rsidP="00094373">
            <w:pPr>
              <w:keepNext/>
              <w:keepLines/>
              <w:ind w:left="0"/>
              <w:jc w:val="center"/>
              <w:pPrChange w:id="74" w:author="Marshall B. Hunt" w:date="2015-07-05T17:07:00Z">
                <w:pPr>
                  <w:ind w:left="0"/>
                  <w:jc w:val="center"/>
                </w:pPr>
              </w:pPrChange>
            </w:pPr>
            <w:r w:rsidRPr="0013299A">
              <w:t>13.2</w:t>
            </w:r>
          </w:p>
        </w:tc>
      </w:tr>
      <w:tr w:rsidR="00D135FE" w14:paraId="15A07AFB" w14:textId="77777777" w:rsidTr="005157FC">
        <w:tc>
          <w:tcPr>
            <w:tcW w:w="3685" w:type="dxa"/>
          </w:tcPr>
          <w:p w14:paraId="38810FC0" w14:textId="77777777" w:rsidR="00D135FE" w:rsidRDefault="00D135FE" w:rsidP="00094373">
            <w:pPr>
              <w:keepNext/>
              <w:keepLines/>
              <w:ind w:left="0"/>
              <w:pPrChange w:id="75" w:author="Marshall B. Hunt" w:date="2015-07-05T17:07:00Z">
                <w:pPr>
                  <w:ind w:left="0"/>
                </w:pPr>
              </w:pPrChange>
            </w:pPr>
            <w:r>
              <w:t xml:space="preserve">% </w:t>
            </w:r>
            <w:r w:rsidRPr="00C229AE">
              <w:t>of IOU 2015 for Incentive Programs Goal</w:t>
            </w:r>
            <w:r>
              <w:t xml:space="preserve"> (38 million </w:t>
            </w:r>
            <w:proofErr w:type="spellStart"/>
            <w:r>
              <w:t>therm</w:t>
            </w:r>
            <w:proofErr w:type="spellEnd"/>
            <w:r>
              <w:t>)</w:t>
            </w:r>
          </w:p>
        </w:tc>
        <w:tc>
          <w:tcPr>
            <w:tcW w:w="1260" w:type="dxa"/>
          </w:tcPr>
          <w:p w14:paraId="4A46033A" w14:textId="77777777" w:rsidR="00D135FE" w:rsidRDefault="00D135FE" w:rsidP="00094373">
            <w:pPr>
              <w:keepNext/>
              <w:keepLines/>
              <w:ind w:left="0"/>
              <w:jc w:val="center"/>
              <w:pPrChange w:id="76" w:author="Marshall B. Hunt" w:date="2015-07-05T17:07:00Z">
                <w:pPr>
                  <w:ind w:left="0"/>
                  <w:jc w:val="center"/>
                </w:pPr>
              </w:pPrChange>
            </w:pPr>
            <w:r w:rsidRPr="0013299A">
              <w:t>12%</w:t>
            </w:r>
          </w:p>
        </w:tc>
        <w:tc>
          <w:tcPr>
            <w:tcW w:w="1260" w:type="dxa"/>
          </w:tcPr>
          <w:p w14:paraId="7AF6B709" w14:textId="77777777" w:rsidR="00D135FE" w:rsidRDefault="00D135FE" w:rsidP="00094373">
            <w:pPr>
              <w:keepNext/>
              <w:keepLines/>
              <w:ind w:left="0"/>
              <w:jc w:val="center"/>
              <w:pPrChange w:id="77" w:author="Marshall B. Hunt" w:date="2015-07-05T17:07:00Z">
                <w:pPr>
                  <w:ind w:left="0"/>
                  <w:jc w:val="center"/>
                </w:pPr>
              </w:pPrChange>
            </w:pPr>
            <w:r w:rsidRPr="0013299A">
              <w:t>18%</w:t>
            </w:r>
          </w:p>
        </w:tc>
        <w:tc>
          <w:tcPr>
            <w:tcW w:w="990" w:type="dxa"/>
          </w:tcPr>
          <w:p w14:paraId="65D8D4D8" w14:textId="77777777" w:rsidR="00D135FE" w:rsidRDefault="00D135FE" w:rsidP="00094373">
            <w:pPr>
              <w:keepNext/>
              <w:keepLines/>
              <w:ind w:left="0"/>
              <w:jc w:val="center"/>
              <w:pPrChange w:id="78" w:author="Marshall B. Hunt" w:date="2015-07-05T17:07:00Z">
                <w:pPr>
                  <w:ind w:left="0"/>
                  <w:jc w:val="center"/>
                </w:pPr>
              </w:pPrChange>
            </w:pPr>
            <w:r w:rsidRPr="0013299A">
              <w:t>19%</w:t>
            </w:r>
          </w:p>
        </w:tc>
        <w:tc>
          <w:tcPr>
            <w:tcW w:w="990" w:type="dxa"/>
          </w:tcPr>
          <w:p w14:paraId="4A6A56FB" w14:textId="77777777" w:rsidR="00D135FE" w:rsidRDefault="00D135FE" w:rsidP="00094373">
            <w:pPr>
              <w:keepNext/>
              <w:keepLines/>
              <w:ind w:left="0"/>
              <w:jc w:val="center"/>
              <w:pPrChange w:id="79" w:author="Marshall B. Hunt" w:date="2015-07-05T17:07:00Z">
                <w:pPr>
                  <w:ind w:left="0"/>
                  <w:jc w:val="center"/>
                </w:pPr>
              </w:pPrChange>
            </w:pPr>
            <w:r w:rsidRPr="0013299A">
              <w:t>25%</w:t>
            </w:r>
          </w:p>
        </w:tc>
        <w:tc>
          <w:tcPr>
            <w:tcW w:w="985" w:type="dxa"/>
          </w:tcPr>
          <w:p w14:paraId="6C97C654" w14:textId="77777777" w:rsidR="00D135FE" w:rsidRDefault="00D135FE" w:rsidP="00094373">
            <w:pPr>
              <w:keepNext/>
              <w:keepLines/>
              <w:ind w:left="0"/>
              <w:jc w:val="center"/>
              <w:pPrChange w:id="80" w:author="Marshall B. Hunt" w:date="2015-07-05T17:07:00Z">
                <w:pPr>
                  <w:ind w:left="0"/>
                  <w:jc w:val="center"/>
                </w:pPr>
              </w:pPrChange>
            </w:pPr>
            <w:r w:rsidRPr="0013299A">
              <w:t>35%</w:t>
            </w:r>
          </w:p>
        </w:tc>
      </w:tr>
    </w:tbl>
    <w:p w14:paraId="489AA967" w14:textId="77777777" w:rsidR="00D135FE" w:rsidRDefault="00D135FE" w:rsidP="00D135FE">
      <w:bookmarkStart w:id="81" w:name="_GoBack"/>
      <w:bookmarkEnd w:id="81"/>
    </w:p>
    <w:p w14:paraId="7061B36D" w14:textId="6787615E" w:rsidR="00D135FE" w:rsidRDefault="00D135FE" w:rsidP="00D135FE">
      <w:r>
        <w:t>The above savings were derived from national savings, which are based on the base-case furnace efficiency distribution shown in the following table</w:t>
      </w:r>
      <w:r w:rsidR="00142EFC">
        <w:t xml:space="preserve"> from the NOPR TSD</w:t>
      </w:r>
      <w:r>
        <w:t>. This distribution indicates that a large fraction of the shipment</w:t>
      </w:r>
      <w:r w:rsidR="00142EFC">
        <w:t>s</w:t>
      </w:r>
      <w:r>
        <w:t xml:space="preserve"> to northern states will be 95% AFUE models before the new standard taking effect. Therefore, the increase in national savings for AFUE improvement from 92% to 95% is moderate. However, for southern states, including California, the market penetration of 95% AFUE models is low. </w:t>
      </w:r>
      <w:commentRangeStart w:id="82"/>
      <w:r>
        <w:t>We will update California savings based on savings and market data for southern states</w:t>
      </w:r>
      <w:commentRangeEnd w:id="82"/>
      <w:r>
        <w:rPr>
          <w:rStyle w:val="CommentReference"/>
        </w:rPr>
        <w:commentReference w:id="82"/>
      </w:r>
      <w:r>
        <w:t xml:space="preserve">. </w:t>
      </w:r>
    </w:p>
    <w:p w14:paraId="2AC27BE6" w14:textId="0D965C65" w:rsidR="00010006" w:rsidRDefault="00010006" w:rsidP="00D13433">
      <w:pPr>
        <w:jc w:val="center"/>
      </w:pPr>
      <w:r>
        <w:rPr>
          <w:noProof/>
        </w:rPr>
        <w:drawing>
          <wp:inline distT="0" distB="0" distL="0" distR="0" wp14:anchorId="5C63416B" wp14:editId="66D17E96">
            <wp:extent cx="5000625" cy="1525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2197" cy="1535354"/>
                    </a:xfrm>
                    <a:prstGeom prst="rect">
                      <a:avLst/>
                    </a:prstGeom>
                    <a:noFill/>
                  </pic:spPr>
                </pic:pic>
              </a:graphicData>
            </a:graphic>
          </wp:inline>
        </w:drawing>
      </w:r>
    </w:p>
    <w:p w14:paraId="3665A33A" w14:textId="77777777" w:rsidR="00D135FE" w:rsidRDefault="00D135FE"/>
    <w:p w14:paraId="7433B0D3" w14:textId="77777777" w:rsidR="00EE677F" w:rsidRDefault="00D135FE">
      <w:pPr>
        <w:pStyle w:val="Heading2"/>
        <w:numPr>
          <w:ilvl w:val="0"/>
          <w:numId w:val="48"/>
        </w:numPr>
      </w:pPr>
      <w:r>
        <w:t>DOE assumptions on California HDD and space heating load are reasonable</w:t>
      </w:r>
    </w:p>
    <w:p w14:paraId="7E1376CD" w14:textId="77777777" w:rsidR="00EE677F" w:rsidRDefault="00D135FE">
      <w:r>
        <w:t>The dataset that DOE uses provides a reasonable estimation of the California climate, as determined by comparing heating degree days from the dataset to the Joint Appendices of Title 24.</w:t>
      </w:r>
    </w:p>
    <w:p w14:paraId="4BC182E5" w14:textId="77777777" w:rsidR="00EE677F" w:rsidRDefault="00D135FE" w:rsidP="008C7C09">
      <w:pPr>
        <w:jc w:val="center"/>
      </w:pPr>
      <w:r>
        <w:rPr>
          <w:noProof/>
        </w:rPr>
        <w:drawing>
          <wp:inline distT="0" distB="0" distL="0" distR="0" wp14:anchorId="44B8E737" wp14:editId="0F3C5287">
            <wp:extent cx="5264727" cy="2079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229" cy="2085151"/>
                    </a:xfrm>
                    <a:prstGeom prst="rect">
                      <a:avLst/>
                    </a:prstGeom>
                    <a:noFill/>
                  </pic:spPr>
                </pic:pic>
              </a:graphicData>
            </a:graphic>
          </wp:inline>
        </w:drawing>
      </w:r>
    </w:p>
    <w:p w14:paraId="508A4071" w14:textId="77777777" w:rsidR="00EE677F" w:rsidRDefault="00D135FE">
      <w:r>
        <w:t xml:space="preserve">However, the distribution of annual heating load from the DOE sample is noticeably greater than the Residential Appliance Saturation Study (RASS 2009) sample. Most homes in the DOE sample have an </w:t>
      </w:r>
      <w:r>
        <w:lastRenderedPageBreak/>
        <w:t xml:space="preserve">annual heating load between 15 and 25 </w:t>
      </w:r>
      <w:proofErr w:type="spellStart"/>
      <w:r>
        <w:t>MMBtu</w:t>
      </w:r>
      <w:proofErr w:type="spellEnd"/>
      <w:r>
        <w:t xml:space="preserve">, while in the RASS sample most homes are between 0-10 </w:t>
      </w:r>
      <w:proofErr w:type="spellStart"/>
      <w:r>
        <w:t>MMBtu</w:t>
      </w:r>
      <w:proofErr w:type="spellEnd"/>
      <w:r>
        <w:t>.</w:t>
      </w:r>
    </w:p>
    <w:p w14:paraId="62D70956" w14:textId="77777777" w:rsidR="00EE677F" w:rsidRDefault="00D135FE">
      <w:r>
        <w:rPr>
          <w:noProof/>
        </w:rPr>
        <w:drawing>
          <wp:inline distT="0" distB="0" distL="0" distR="0" wp14:anchorId="62266FEA" wp14:editId="77A043C3">
            <wp:extent cx="2808674" cy="17440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154" cy="1750534"/>
                    </a:xfrm>
                    <a:prstGeom prst="rect">
                      <a:avLst/>
                    </a:prstGeom>
                    <a:noFill/>
                  </pic:spPr>
                </pic:pic>
              </a:graphicData>
            </a:graphic>
          </wp:inline>
        </w:drawing>
      </w:r>
      <w:r>
        <w:rPr>
          <w:noProof/>
        </w:rPr>
        <w:t xml:space="preserve">  </w:t>
      </w:r>
      <w:r>
        <w:rPr>
          <w:noProof/>
        </w:rPr>
        <w:drawing>
          <wp:inline distT="0" distB="0" distL="0" distR="0" wp14:anchorId="5A549549" wp14:editId="79EFFEB0">
            <wp:extent cx="2929467" cy="17563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467" cy="1756390"/>
                    </a:xfrm>
                    <a:prstGeom prst="rect">
                      <a:avLst/>
                    </a:prstGeom>
                    <a:noFill/>
                  </pic:spPr>
                </pic:pic>
              </a:graphicData>
            </a:graphic>
          </wp:inline>
        </w:drawing>
      </w:r>
    </w:p>
    <w:p w14:paraId="02E5CB67" w14:textId="4D4DDB4C" w:rsidR="00EE677F" w:rsidRDefault="00D135FE" w:rsidP="004E4C17">
      <w:r>
        <w:t xml:space="preserve">The RASS sample oddly indicates that </w:t>
      </w:r>
      <w:r w:rsidR="008C7C09">
        <w:t xml:space="preserve">8% </w:t>
      </w:r>
      <w:r>
        <w:t>of homes have a negative annual heating load. This may be a result of their statistical methods used to determine the annual heating load with the home attributes attained from their survey.</w:t>
      </w:r>
    </w:p>
    <w:sectPr w:rsidR="00EE677F">
      <w:footerReference w:type="default" r:id="rId14"/>
      <w:headerReference w:type="first" r:id="rId15"/>
      <w:footerReference w:type="first" r:id="rId16"/>
      <w:type w:val="continuous"/>
      <w:pgSz w:w="12240" w:h="15840" w:code="1"/>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Marshall B. Hunt" w:date="2015-07-05T12:17:00Z" w:initials="mbh">
    <w:p w14:paraId="5F804C7B" w14:textId="0694C5D9" w:rsidR="00F227B3" w:rsidRDefault="00F227B3">
      <w:pPr>
        <w:pStyle w:val="CommentText"/>
      </w:pPr>
      <w:r>
        <w:rPr>
          <w:rStyle w:val="CommentReference"/>
        </w:rPr>
        <w:annotationRef/>
      </w:r>
      <w:r>
        <w:t>This does not seem to be correct math</w:t>
      </w:r>
    </w:p>
  </w:comment>
  <w:comment w:id="55" w:author="Marshall B. Hunt" w:date="2015-07-05T12:20:00Z" w:initials="mbh">
    <w:p w14:paraId="2E3D948B" w14:textId="4A0FC31F" w:rsidR="00F227B3" w:rsidRDefault="00F227B3">
      <w:pPr>
        <w:pStyle w:val="CommentText"/>
      </w:pPr>
      <w:r>
        <w:rPr>
          <w:rStyle w:val="CommentReference"/>
        </w:rPr>
        <w:annotationRef/>
      </w:r>
      <w:r>
        <w:t>Do we have a page citation</w:t>
      </w:r>
    </w:p>
  </w:comment>
  <w:comment w:id="56" w:author="Farahmand, Farhad" w:date="2015-06-30T16:47:00Z" w:initials="FF">
    <w:p w14:paraId="511C9D0E" w14:textId="5D11DB8F" w:rsidR="00142EFC" w:rsidRDefault="00142EFC">
      <w:pPr>
        <w:pStyle w:val="CommentText"/>
      </w:pPr>
      <w:r>
        <w:rPr>
          <w:rStyle w:val="CommentReference"/>
        </w:rPr>
        <w:annotationRef/>
      </w:r>
      <w:r>
        <w:t>Marshall: In the slide presented to Kristen and Bill, the efficiency categories were not labeled correctly. The mistake is corrected in the following table</w:t>
      </w:r>
    </w:p>
  </w:comment>
  <w:comment w:id="82" w:author="Zhang, Yanda" w:date="2015-06-30T11:39:00Z" w:initials="ZY">
    <w:p w14:paraId="7C887181" w14:textId="51BFA318" w:rsidR="005157FC" w:rsidRDefault="005157FC">
      <w:pPr>
        <w:pStyle w:val="CommentText"/>
      </w:pPr>
      <w:r>
        <w:rPr>
          <w:rStyle w:val="CommentReference"/>
        </w:rPr>
        <w:annotationRef/>
      </w:r>
      <w:r w:rsidR="00142EFC">
        <w:rPr>
          <w:rStyle w:val="CommentReference"/>
        </w:rPr>
        <w:t>Marshall:</w:t>
      </w:r>
      <w:r>
        <w:t xml:space="preserve"> </w:t>
      </w:r>
      <w:r w:rsidR="00142EFC">
        <w:t>We can do this after submitting the July 10 comment letter.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C9D0E" w15:done="0"/>
  <w15:commentEx w15:paraId="7C887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5544" w14:textId="77777777" w:rsidR="001F68EA" w:rsidRDefault="001F68EA">
      <w:r>
        <w:separator/>
      </w:r>
    </w:p>
    <w:p w14:paraId="437ACE2C" w14:textId="77777777" w:rsidR="001F68EA" w:rsidRDefault="001F68EA"/>
  </w:endnote>
  <w:endnote w:type="continuationSeparator" w:id="0">
    <w:p w14:paraId="291FF6DF" w14:textId="77777777" w:rsidR="001F68EA" w:rsidRDefault="001F68EA">
      <w:r>
        <w:continuationSeparator/>
      </w:r>
    </w:p>
    <w:p w14:paraId="4A4E9DD5" w14:textId="77777777" w:rsidR="001F68EA" w:rsidRDefault="001F6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47520"/>
      <w:docPartObj>
        <w:docPartGallery w:val="Page Numbers (Bottom of Page)"/>
        <w:docPartUnique/>
      </w:docPartObj>
    </w:sdtPr>
    <w:sdtEndPr>
      <w:rPr>
        <w:noProof/>
      </w:rPr>
    </w:sdtEndPr>
    <w:sdtContent>
      <w:p w14:paraId="6F5B876B" w14:textId="77777777" w:rsidR="005157FC" w:rsidRDefault="005157FC">
        <w:pPr>
          <w:pStyle w:val="Footer"/>
          <w:jc w:val="center"/>
        </w:pPr>
      </w:p>
      <w:p w14:paraId="25671114" w14:textId="77777777" w:rsidR="005157FC" w:rsidRDefault="005157FC">
        <w:pPr>
          <w:pStyle w:val="Footer"/>
          <w:jc w:val="center"/>
        </w:pPr>
        <w:r>
          <w:fldChar w:fldCharType="begin"/>
        </w:r>
        <w:r>
          <w:instrText xml:space="preserve"> PAGE   \* MERGEFORMAT </w:instrText>
        </w:r>
        <w:r>
          <w:fldChar w:fldCharType="separate"/>
        </w:r>
        <w:r w:rsidR="006B3B6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06406"/>
      <w:docPartObj>
        <w:docPartGallery w:val="Page Numbers (Bottom of Page)"/>
        <w:docPartUnique/>
      </w:docPartObj>
    </w:sdtPr>
    <w:sdtEndPr>
      <w:rPr>
        <w:noProof/>
      </w:rPr>
    </w:sdtEndPr>
    <w:sdtContent>
      <w:p w14:paraId="271C9513" w14:textId="77777777" w:rsidR="005157FC" w:rsidRDefault="005157FC">
        <w:pPr>
          <w:pStyle w:val="Footer"/>
        </w:pPr>
        <w:r>
          <w:fldChar w:fldCharType="begin"/>
        </w:r>
        <w:r>
          <w:instrText xml:space="preserve"> PAGE   \* MERGEFORMAT </w:instrText>
        </w:r>
        <w:r>
          <w:fldChar w:fldCharType="separate"/>
        </w:r>
        <w:r>
          <w:rPr>
            <w:noProof/>
          </w:rPr>
          <w:t>2</w:t>
        </w:r>
        <w:r>
          <w:rPr>
            <w:noProof/>
          </w:rPr>
          <w:fldChar w:fldCharType="end"/>
        </w:r>
      </w:p>
    </w:sdtContent>
  </w:sdt>
  <w:p w14:paraId="0E8FB3E6" w14:textId="77777777" w:rsidR="005157FC" w:rsidRDefault="005157FC">
    <w:pPr>
      <w:pStyle w:val="Footer"/>
    </w:pPr>
  </w:p>
  <w:p w14:paraId="39F548A9" w14:textId="77777777" w:rsidR="005157FC" w:rsidRDefault="00515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EC7D2" w14:textId="77777777" w:rsidR="001F68EA" w:rsidRDefault="001F68EA">
      <w:r>
        <w:separator/>
      </w:r>
    </w:p>
  </w:footnote>
  <w:footnote w:type="continuationSeparator" w:id="0">
    <w:p w14:paraId="0020A54B" w14:textId="77777777" w:rsidR="001F68EA" w:rsidRDefault="001F68EA">
      <w:r>
        <w:continuationSeparator/>
      </w:r>
    </w:p>
  </w:footnote>
  <w:footnote w:type="continuationNotice" w:id="1">
    <w:p w14:paraId="4E26F0CE" w14:textId="77777777" w:rsidR="001F68EA" w:rsidRDefault="001F68EA">
      <w:pPr>
        <w:spacing w:before="0" w:after="0"/>
        <w:ind w:left="0"/>
      </w:pPr>
    </w:p>
  </w:footnote>
  <w:footnote w:id="2">
    <w:p w14:paraId="617B2671" w14:textId="317421ED" w:rsidR="005157FC" w:rsidRDefault="005157FC" w:rsidP="00BF109D">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3">
    <w:p w14:paraId="213DB50D" w14:textId="4E1908D1" w:rsidR="005157FC" w:rsidRDefault="005157FC" w:rsidP="00396823">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4">
    <w:p w14:paraId="5CFCC22A" w14:textId="1C92E155" w:rsidR="005157FC" w:rsidRDefault="005157FC" w:rsidP="00D135FE">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5">
    <w:p w14:paraId="55675545" w14:textId="5B597FD8" w:rsidR="004E4C17" w:rsidRDefault="004E4C17">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4" w:history="1">
        <w:r w:rsidRPr="007E33E1">
          <w:rPr>
            <w:rStyle w:val="Hyperlink"/>
          </w:rPr>
          <w:t>www.eia.gov/forecasts/aeo/</w:t>
        </w:r>
      </w:hyperlink>
    </w:p>
  </w:footnote>
  <w:footnote w:id="6">
    <w:p w14:paraId="50AFBC85" w14:textId="362EC1CF" w:rsidR="004E4C17" w:rsidRDefault="004E4C17">
      <w:pPr>
        <w:pStyle w:val="FootnoteText"/>
      </w:pPr>
      <w:r>
        <w:rPr>
          <w:rStyle w:val="FootnoteReference"/>
        </w:rPr>
        <w:footnoteRef/>
      </w:r>
      <w:r>
        <w:t xml:space="preserve"> Available at: </w:t>
      </w:r>
      <w:hyperlink r:id="rId5" w:history="1">
        <w:r w:rsidRPr="007E33E1">
          <w:rPr>
            <w:rStyle w:val="Hyperlink"/>
          </w:rPr>
          <w:t>http://energyalmanac.ca.gov/electricity/web_qfer/Heat_Rates.php</w:t>
        </w:r>
      </w:hyperlink>
    </w:p>
  </w:footnote>
  <w:footnote w:id="7">
    <w:p w14:paraId="30F2100D" w14:textId="45FD9019" w:rsidR="004E4C17" w:rsidRDefault="004E4C17">
      <w:pPr>
        <w:pStyle w:val="FootnoteText"/>
      </w:pPr>
      <w:r>
        <w:rPr>
          <w:rStyle w:val="FootnoteReference"/>
        </w:rPr>
        <w:footnoteRef/>
      </w:r>
      <w:r>
        <w:t xml:space="preserve"> Available at: </w:t>
      </w:r>
      <w:hyperlink r:id="rId6" w:history="1">
        <w:r w:rsidRPr="007E33E1">
          <w:rPr>
            <w:rStyle w:val="Hyperlink"/>
          </w:rPr>
          <w:t>http://www.cpuc.ca.gov/PUC/energy/Renewables/</w:t>
        </w:r>
      </w:hyperlink>
    </w:p>
  </w:footnote>
  <w:footnote w:id="8">
    <w:p w14:paraId="18CD1C6F" w14:textId="406B9B8D" w:rsidR="005157FC" w:rsidRDefault="005157FC">
      <w:pPr>
        <w:pStyle w:val="FootnoteText"/>
      </w:pPr>
      <w:r>
        <w:rPr>
          <w:rStyle w:val="FootnoteReference"/>
        </w:rPr>
        <w:footnoteRef/>
      </w:r>
      <w:r>
        <w:t xml:space="preserve"> U.S. Department of Energy, </w:t>
      </w:r>
      <w:r w:rsidRPr="00955F07">
        <w:t>Technical Support Document: Energy Efficiency Standards for Consumer Products: Central Air Conditioners, Heat Pumps, and Furnaces. 201</w:t>
      </w:r>
      <w:r>
        <w:t>1</w:t>
      </w:r>
      <w:r w:rsidRPr="00955F07">
        <w:t>.</w:t>
      </w:r>
      <w:r>
        <w:t xml:space="preserve"> Available at: </w:t>
      </w:r>
      <w:hyperlink r:id="rId7" w:anchor="!documentDetail;D=EERE-2011-BT-STD-0011-0012" w:history="1">
        <w:r w:rsidRPr="007E33E1">
          <w:rPr>
            <w:rStyle w:val="Hyperlink"/>
          </w:rPr>
          <w:t>http://www.regulations.gov/#!documentDetail;D=EERE-2011-BT-STD-0011-0012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AB09" w14:textId="77777777" w:rsidR="005157FC" w:rsidRDefault="005157FC">
    <w:pPr>
      <w:pStyle w:val="Header"/>
    </w:pPr>
  </w:p>
  <w:p w14:paraId="72E259E6" w14:textId="77777777" w:rsidR="005157FC" w:rsidRDefault="005157FC">
    <w:pPr>
      <w:pStyle w:val="Header"/>
    </w:pPr>
  </w:p>
  <w:p w14:paraId="709FC077" w14:textId="77777777" w:rsidR="005157FC" w:rsidRDefault="005157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B25"/>
    <w:multiLevelType w:val="hybridMultilevel"/>
    <w:tmpl w:val="91CA9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95052"/>
    <w:multiLevelType w:val="hybridMultilevel"/>
    <w:tmpl w:val="B6FC684A"/>
    <w:lvl w:ilvl="0" w:tplc="FFFFFFFF">
      <w:start w:val="1"/>
      <w:numFmt w:val="decimal"/>
      <w:lvlText w:val="%1."/>
      <w:lvlJc w:val="left"/>
      <w:pPr>
        <w:tabs>
          <w:tab w:val="num" w:pos="1440"/>
        </w:tabs>
        <w:ind w:left="1440" w:hanging="360"/>
      </w:pPr>
      <w:rPr>
        <w:rFonts w:cs="Times New Roman" w:hint="default"/>
      </w:rPr>
    </w:lvl>
    <w:lvl w:ilvl="1" w:tplc="FFFFFFFF">
      <w:start w:val="1"/>
      <w:numFmt w:val="lowerRoman"/>
      <w:lvlText w:val="%2)"/>
      <w:lvlJc w:val="left"/>
      <w:pPr>
        <w:tabs>
          <w:tab w:val="num" w:pos="2160"/>
        </w:tabs>
        <w:ind w:left="2160" w:hanging="360"/>
      </w:pPr>
      <w:rPr>
        <w:rFonts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2F02B8"/>
    <w:multiLevelType w:val="hybridMultilevel"/>
    <w:tmpl w:val="1D466B2E"/>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
    <w:nsid w:val="09C157BA"/>
    <w:multiLevelType w:val="hybridMultilevel"/>
    <w:tmpl w:val="62F819E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FA5E76"/>
    <w:multiLevelType w:val="hybridMultilevel"/>
    <w:tmpl w:val="95A2F0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08D3424"/>
    <w:multiLevelType w:val="hybridMultilevel"/>
    <w:tmpl w:val="E6A0305E"/>
    <w:lvl w:ilvl="0" w:tplc="04090001">
      <w:start w:val="1"/>
      <w:numFmt w:val="bullet"/>
      <w:lvlText w:val=""/>
      <w:lvlJc w:val="left"/>
      <w:pPr>
        <w:ind w:left="1011" w:hanging="360"/>
      </w:pPr>
      <w:rPr>
        <w:rFonts w:ascii="Symbol" w:hAnsi="Symbol" w:hint="default"/>
      </w:rPr>
    </w:lvl>
    <w:lvl w:ilvl="1" w:tplc="04090003">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6">
    <w:nsid w:val="12E352A2"/>
    <w:multiLevelType w:val="hybridMultilevel"/>
    <w:tmpl w:val="255474C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4F5F54"/>
    <w:multiLevelType w:val="hybridMultilevel"/>
    <w:tmpl w:val="249E188E"/>
    <w:lvl w:ilvl="0" w:tplc="822EB152">
      <w:start w:val="1"/>
      <w:numFmt w:val="lowerRoman"/>
      <w:lvlText w:val="%1."/>
      <w:lvlJc w:val="righ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434BBF"/>
    <w:multiLevelType w:val="hybridMultilevel"/>
    <w:tmpl w:val="35708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CA47BAC"/>
    <w:multiLevelType w:val="hybridMultilevel"/>
    <w:tmpl w:val="920C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F655D"/>
    <w:multiLevelType w:val="hybridMultilevel"/>
    <w:tmpl w:val="B48CD3D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DA916AD"/>
    <w:multiLevelType w:val="hybridMultilevel"/>
    <w:tmpl w:val="31448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FB46355"/>
    <w:multiLevelType w:val="hybridMultilevel"/>
    <w:tmpl w:val="DFB4A0B6"/>
    <w:lvl w:ilvl="0" w:tplc="25C2EA30">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10A2EA6"/>
    <w:multiLevelType w:val="hybridMultilevel"/>
    <w:tmpl w:val="BAB2B86E"/>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4">
    <w:nsid w:val="225269C9"/>
    <w:multiLevelType w:val="hybridMultilevel"/>
    <w:tmpl w:val="429E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C22907"/>
    <w:multiLevelType w:val="hybridMultilevel"/>
    <w:tmpl w:val="90EE7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F5D43"/>
    <w:multiLevelType w:val="hybridMultilevel"/>
    <w:tmpl w:val="1E807C08"/>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nsid w:val="2772692C"/>
    <w:multiLevelType w:val="hybridMultilevel"/>
    <w:tmpl w:val="4766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120EB"/>
    <w:multiLevelType w:val="hybridMultilevel"/>
    <w:tmpl w:val="2E8AD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F1A28DD"/>
    <w:multiLevelType w:val="hybridMultilevel"/>
    <w:tmpl w:val="DF72D16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0AA1B02"/>
    <w:multiLevelType w:val="hybridMultilevel"/>
    <w:tmpl w:val="185CF9C6"/>
    <w:lvl w:ilvl="0" w:tplc="0409000F">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C36B93"/>
    <w:multiLevelType w:val="hybridMultilevel"/>
    <w:tmpl w:val="771AB8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47A5D5A"/>
    <w:multiLevelType w:val="hybridMultilevel"/>
    <w:tmpl w:val="873A20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65C33A7"/>
    <w:multiLevelType w:val="hybridMultilevel"/>
    <w:tmpl w:val="A7223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6725D8"/>
    <w:multiLevelType w:val="hybridMultilevel"/>
    <w:tmpl w:val="FEE2B9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3E5453E8"/>
    <w:multiLevelType w:val="hybridMultilevel"/>
    <w:tmpl w:val="577C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D402BE"/>
    <w:multiLevelType w:val="hybridMultilevel"/>
    <w:tmpl w:val="DF7AD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10B761F"/>
    <w:multiLevelType w:val="hybridMultilevel"/>
    <w:tmpl w:val="A240FF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5092699"/>
    <w:multiLevelType w:val="hybridMultilevel"/>
    <w:tmpl w:val="F4C4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773EC5"/>
    <w:multiLevelType w:val="hybridMultilevel"/>
    <w:tmpl w:val="862A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40D66"/>
    <w:multiLevelType w:val="hybridMultilevel"/>
    <w:tmpl w:val="68863CB6"/>
    <w:lvl w:ilvl="0" w:tplc="FCD29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491448DB"/>
    <w:multiLevelType w:val="hybridMultilevel"/>
    <w:tmpl w:val="7FCC290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4C301BA8"/>
    <w:multiLevelType w:val="hybridMultilevel"/>
    <w:tmpl w:val="7476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F0FCB"/>
    <w:multiLevelType w:val="hybridMultilevel"/>
    <w:tmpl w:val="FF6EE016"/>
    <w:lvl w:ilvl="0" w:tplc="FCD2953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BE39E5"/>
    <w:multiLevelType w:val="hybridMultilevel"/>
    <w:tmpl w:val="89CCD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8647D9"/>
    <w:multiLevelType w:val="hybridMultilevel"/>
    <w:tmpl w:val="EB8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0856BC"/>
    <w:multiLevelType w:val="multilevel"/>
    <w:tmpl w:val="6598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AE307E6"/>
    <w:multiLevelType w:val="hybridMultilevel"/>
    <w:tmpl w:val="D7265E7A"/>
    <w:lvl w:ilvl="0" w:tplc="FCD29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5CA625FA"/>
    <w:multiLevelType w:val="hybridMultilevel"/>
    <w:tmpl w:val="2E8E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202E55"/>
    <w:multiLevelType w:val="hybridMultilevel"/>
    <w:tmpl w:val="50C4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F4F3570"/>
    <w:multiLevelType w:val="hybridMultilevel"/>
    <w:tmpl w:val="AF4EF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nsid w:val="66C60EA2"/>
    <w:multiLevelType w:val="hybridMultilevel"/>
    <w:tmpl w:val="26142A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89D0D68"/>
    <w:multiLevelType w:val="hybridMultilevel"/>
    <w:tmpl w:val="F182940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698B45D6"/>
    <w:multiLevelType w:val="hybridMultilevel"/>
    <w:tmpl w:val="D3E828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6BE219E3"/>
    <w:multiLevelType w:val="hybridMultilevel"/>
    <w:tmpl w:val="B54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F410A2"/>
    <w:multiLevelType w:val="hybridMultilevel"/>
    <w:tmpl w:val="787225F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70937C61"/>
    <w:multiLevelType w:val="hybridMultilevel"/>
    <w:tmpl w:val="E384EC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73CD505C"/>
    <w:multiLevelType w:val="hybridMultilevel"/>
    <w:tmpl w:val="4AD8C01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766B3BC5"/>
    <w:multiLevelType w:val="hybridMultilevel"/>
    <w:tmpl w:val="78283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32698C"/>
    <w:multiLevelType w:val="hybridMultilevel"/>
    <w:tmpl w:val="13EE126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F">
      <w:start w:val="1"/>
      <w:numFmt w:val="decimal"/>
      <w:lvlText w:val="%3."/>
      <w:lvlJc w:val="left"/>
      <w:pPr>
        <w:ind w:left="2340" w:hanging="360"/>
      </w:pPr>
      <w:rPr>
        <w:rFont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40"/>
  </w:num>
  <w:num w:numId="3">
    <w:abstractNumId w:val="17"/>
  </w:num>
  <w:num w:numId="4">
    <w:abstractNumId w:val="35"/>
  </w:num>
  <w:num w:numId="5">
    <w:abstractNumId w:val="29"/>
  </w:num>
  <w:num w:numId="6">
    <w:abstractNumId w:val="32"/>
  </w:num>
  <w:num w:numId="7">
    <w:abstractNumId w:val="44"/>
  </w:num>
  <w:num w:numId="8">
    <w:abstractNumId w:val="31"/>
  </w:num>
  <w:num w:numId="9">
    <w:abstractNumId w:val="47"/>
  </w:num>
  <w:num w:numId="10">
    <w:abstractNumId w:val="12"/>
  </w:num>
  <w:num w:numId="11">
    <w:abstractNumId w:val="42"/>
  </w:num>
  <w:num w:numId="12">
    <w:abstractNumId w:val="10"/>
  </w:num>
  <w:num w:numId="13">
    <w:abstractNumId w:val="3"/>
  </w:num>
  <w:num w:numId="14">
    <w:abstractNumId w:val="9"/>
  </w:num>
  <w:num w:numId="15">
    <w:abstractNumId w:val="38"/>
  </w:num>
  <w:num w:numId="16">
    <w:abstractNumId w:val="2"/>
  </w:num>
  <w:num w:numId="17">
    <w:abstractNumId w:val="28"/>
  </w:num>
  <w:num w:numId="18">
    <w:abstractNumId w:val="16"/>
  </w:num>
  <w:num w:numId="19">
    <w:abstractNumId w:val="21"/>
  </w:num>
  <w:num w:numId="20">
    <w:abstractNumId w:val="46"/>
  </w:num>
  <w:num w:numId="21">
    <w:abstractNumId w:val="39"/>
  </w:num>
  <w:num w:numId="22">
    <w:abstractNumId w:val="36"/>
  </w:num>
  <w:num w:numId="23">
    <w:abstractNumId w:val="8"/>
  </w:num>
  <w:num w:numId="24">
    <w:abstractNumId w:val="18"/>
  </w:num>
  <w:num w:numId="25">
    <w:abstractNumId w:val="43"/>
  </w:num>
  <w:num w:numId="26">
    <w:abstractNumId w:val="22"/>
  </w:num>
  <w:num w:numId="27">
    <w:abstractNumId w:val="26"/>
  </w:num>
  <w:num w:numId="28">
    <w:abstractNumId w:val="45"/>
  </w:num>
  <w:num w:numId="29">
    <w:abstractNumId w:val="7"/>
  </w:num>
  <w:num w:numId="30">
    <w:abstractNumId w:val="1"/>
  </w:num>
  <w:num w:numId="31">
    <w:abstractNumId w:val="20"/>
  </w:num>
  <w:num w:numId="32">
    <w:abstractNumId w:val="27"/>
  </w:num>
  <w:num w:numId="33">
    <w:abstractNumId w:val="13"/>
  </w:num>
  <w:num w:numId="34">
    <w:abstractNumId w:val="19"/>
  </w:num>
  <w:num w:numId="35">
    <w:abstractNumId w:val="24"/>
  </w:num>
  <w:num w:numId="36">
    <w:abstractNumId w:val="23"/>
  </w:num>
  <w:num w:numId="37">
    <w:abstractNumId w:val="41"/>
  </w:num>
  <w:num w:numId="38">
    <w:abstractNumId w:val="0"/>
  </w:num>
  <w:num w:numId="39">
    <w:abstractNumId w:val="4"/>
  </w:num>
  <w:num w:numId="40">
    <w:abstractNumId w:val="11"/>
  </w:num>
  <w:num w:numId="41">
    <w:abstractNumId w:val="49"/>
  </w:num>
  <w:num w:numId="42">
    <w:abstractNumId w:val="5"/>
  </w:num>
  <w:num w:numId="43">
    <w:abstractNumId w:val="48"/>
  </w:num>
  <w:num w:numId="44">
    <w:abstractNumId w:val="14"/>
  </w:num>
  <w:num w:numId="45">
    <w:abstractNumId w:val="25"/>
  </w:num>
  <w:num w:numId="46">
    <w:abstractNumId w:val="34"/>
  </w:num>
  <w:num w:numId="47">
    <w:abstractNumId w:val="6"/>
  </w:num>
  <w:num w:numId="48">
    <w:abstractNumId w:val="37"/>
  </w:num>
  <w:num w:numId="49">
    <w:abstractNumId w:val="33"/>
  </w:num>
  <w:num w:numId="5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rson w15:author="Zhang, Yanda">
    <w15:presenceInfo w15:providerId="AD" w15:userId="S-1-5-21-1786704334-1080620903-3496478664-41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7F"/>
    <w:rsid w:val="00010006"/>
    <w:rsid w:val="00047C6A"/>
    <w:rsid w:val="00094373"/>
    <w:rsid w:val="000A5F0A"/>
    <w:rsid w:val="00142EFC"/>
    <w:rsid w:val="001C35E0"/>
    <w:rsid w:val="001F68EA"/>
    <w:rsid w:val="003177A3"/>
    <w:rsid w:val="00396823"/>
    <w:rsid w:val="0042703B"/>
    <w:rsid w:val="004605D0"/>
    <w:rsid w:val="004E4C17"/>
    <w:rsid w:val="005157FC"/>
    <w:rsid w:val="00524215"/>
    <w:rsid w:val="005A71E5"/>
    <w:rsid w:val="006A2678"/>
    <w:rsid w:val="006B3B66"/>
    <w:rsid w:val="0087392A"/>
    <w:rsid w:val="008C7C09"/>
    <w:rsid w:val="009C53AD"/>
    <w:rsid w:val="009F7306"/>
    <w:rsid w:val="00B27267"/>
    <w:rsid w:val="00BF109D"/>
    <w:rsid w:val="00C02600"/>
    <w:rsid w:val="00D13433"/>
    <w:rsid w:val="00D135FE"/>
    <w:rsid w:val="00E01AEE"/>
    <w:rsid w:val="00EE677F"/>
    <w:rsid w:val="00EF168E"/>
    <w:rsid w:val="00F037CC"/>
    <w:rsid w:val="00F13198"/>
    <w:rsid w:val="00F227B3"/>
    <w:rsid w:val="00FC3D53"/>
    <w:rsid w:val="00FE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5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ind w:left="180"/>
    </w:pPr>
    <w:rPr>
      <w:rFonts w:ascii="Times New Roman" w:hAnsi="Times New Roman" w:cs="Times New Roman"/>
    </w:rPr>
  </w:style>
  <w:style w:type="paragraph" w:styleId="Heading1">
    <w:name w:val="heading 1"/>
    <w:basedOn w:val="Normal"/>
    <w:next w:val="Normal"/>
    <w:link w:val="Heading1Char"/>
    <w:uiPriority w:val="9"/>
    <w:qFormat/>
    <w:pPr>
      <w:keepNext/>
      <w:keepLines/>
      <w:pBdr>
        <w:bottom w:val="single" w:sz="18" w:space="1" w:color="auto"/>
      </w:pBdr>
      <w:spacing w:before="240" w:after="240"/>
      <w:ind w:left="0"/>
      <w:outlineLvl w:val="0"/>
    </w:pPr>
    <w:rPr>
      <w:rFonts w:ascii="Times New Roman Bold" w:eastAsiaTheme="majorEastAsia" w:hAnsi="Times New Roman Bold"/>
      <w:b/>
      <w:bCs/>
      <w:smallCaps/>
      <w:spacing w:val="22"/>
      <w:sz w:val="40"/>
      <w:szCs w:val="28"/>
    </w:rPr>
  </w:style>
  <w:style w:type="paragraph" w:styleId="Heading2">
    <w:name w:val="heading 2"/>
    <w:basedOn w:val="Default"/>
    <w:next w:val="Normal"/>
    <w:link w:val="Heading2Char"/>
    <w:uiPriority w:val="9"/>
    <w:unhideWhenUsed/>
    <w:qFormat/>
    <w:pPr>
      <w:spacing w:before="240" w:after="120"/>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pPr>
      <w:ind w:left="0"/>
      <w:outlineLvl w:val="2"/>
    </w:pPr>
    <w:rPr>
      <w:b/>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pacing w:val="22"/>
      <w:sz w:val="40"/>
      <w:szCs w:val="28"/>
    </w:rPr>
  </w:style>
  <w:style w:type="character" w:customStyle="1" w:styleId="Heading2Char">
    <w:name w:val="Heading 2 Char"/>
    <w:basedOn w:val="DefaultParagraphFont"/>
    <w:link w:val="Heading2"/>
    <w:uiPriority w:val="9"/>
    <w:rPr>
      <w:rFonts w:ascii="Times New Roman" w:hAnsi="Times New Roman" w:cs="Times New Roman"/>
      <w:b/>
      <w:color w:val="000000"/>
      <w:sz w:val="26"/>
      <w:szCs w:val="26"/>
    </w:rPr>
  </w:style>
  <w:style w:type="paragraph" w:styleId="FootnoteText">
    <w:name w:val="footnote text"/>
    <w:basedOn w:val="Normal"/>
    <w:link w:val="FootnoteTextChar"/>
    <w:uiPriority w:val="99"/>
    <w:unhideWhenUsed/>
    <w:pPr>
      <w:spacing w:after="0"/>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Pr>
      <w:rFonts w:ascii="Times New Roman" w:hAnsi="Times New Roman" w:cs="Times New Roman"/>
      <w:b/>
      <w:color w:val="0070C0"/>
      <w:sz w:val="26"/>
      <w:szCs w:val="2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300"/>
      <w:contextualSpacing/>
      <w:jc w:val="center"/>
    </w:pPr>
    <w:rPr>
      <w:rFonts w:eastAsiaTheme="majorEastAsia"/>
      <w:b/>
      <w:spacing w:val="5"/>
      <w:kern w:val="28"/>
      <w:sz w:val="44"/>
      <w:szCs w:val="48"/>
    </w:rPr>
  </w:style>
  <w:style w:type="character" w:customStyle="1" w:styleId="TitleChar">
    <w:name w:val="Title Char"/>
    <w:basedOn w:val="DefaultParagraphFont"/>
    <w:link w:val="Title"/>
    <w:uiPriority w:val="10"/>
    <w:rPr>
      <w:rFonts w:ascii="Times New Roman" w:eastAsiaTheme="majorEastAsia" w:hAnsi="Times New Roman" w:cs="Times New Roman"/>
      <w:b/>
      <w:spacing w:val="5"/>
      <w:kern w:val="28"/>
      <w:sz w:val="44"/>
      <w:szCs w:val="48"/>
    </w:rPr>
  </w:style>
  <w:style w:type="paragraph" w:customStyle="1" w:styleId="CASETeamResponse">
    <w:name w:val="CASE Team Response"/>
    <w:basedOn w:val="Normal"/>
    <w:qFormat/>
    <w:rPr>
      <w:color w:val="0070C0"/>
    </w:rPr>
  </w:style>
  <w:style w:type="paragraph" w:customStyle="1" w:styleId="CASEBanner">
    <w:name w:val="CASE Banner"/>
    <w:next w:val="Title"/>
    <w:qFormat/>
    <w:pPr>
      <w:shd w:val="clear" w:color="auto" w:fill="000000"/>
      <w:jc w:val="both"/>
    </w:pPr>
    <w:rPr>
      <w:rFonts w:ascii="Arial" w:eastAsia="Times New Roman" w:hAnsi="Arial" w:cs="Arial"/>
      <w:b/>
      <w:caps/>
      <w:color w:val="FFFFFF"/>
      <w:spacing w:val="20"/>
      <w:sz w:val="28"/>
      <w:szCs w:val="28"/>
    </w:rPr>
  </w:style>
  <w:style w:type="paragraph" w:customStyle="1" w:styleId="2016T24Banner">
    <w:name w:val="2016 T24 Banner"/>
    <w:basedOn w:val="CASEBanner"/>
    <w:next w:val="Normal"/>
    <w:qFormat/>
    <w:pPr>
      <w:spacing w:before="120" w:after="240" w:line="240" w:lineRule="auto"/>
      <w:jc w:val="left"/>
    </w:pPr>
    <w:rPr>
      <w:i/>
      <w:sz w:val="24"/>
    </w:rPr>
  </w:style>
  <w:style w:type="paragraph" w:customStyle="1" w:styleId="Disclaimer2">
    <w:name w:val="Disclaimer 2"/>
    <w:basedOn w:val="Disclaimer"/>
    <w:next w:val="Title"/>
    <w:rPr>
      <w:b/>
      <w:i/>
    </w:rPr>
  </w:style>
  <w:style w:type="paragraph" w:customStyle="1" w:styleId="Disclaimer">
    <w:name w:val="Disclaimer"/>
    <w:next w:val="Normal"/>
    <w:autoRedefine/>
    <w:pPr>
      <w:spacing w:before="40" w:after="40"/>
      <w:jc w:val="both"/>
    </w:pPr>
    <w:rPr>
      <w:rFonts w:ascii="Times New Roman" w:eastAsia="Times New Roman" w:hAnsi="Times New Roman" w:cs="Times New Roman"/>
      <w:snapToGrid w:val="0"/>
      <w:color w:val="000000"/>
      <w:sz w:val="16"/>
      <w:szCs w:val="20"/>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customStyle="1" w:styleId="BulletB1Number">
    <w:name w:val="Bullet B (1. Number)"/>
    <w:basedOn w:val="Normal"/>
    <w:pPr>
      <w:suppressAutoHyphens/>
      <w:spacing w:after="0"/>
      <w:ind w:left="720" w:hanging="360"/>
    </w:pPr>
    <w:rPr>
      <w:rFonts w:eastAsia="Times New Roman"/>
      <w:sz w:val="20"/>
      <w:szCs w:val="20"/>
    </w:rPr>
  </w:style>
  <w:style w:type="character" w:customStyle="1" w:styleId="Char-Bold">
    <w:name w:val="Char - Bold"/>
    <w:rPr>
      <w:b/>
    </w:rPr>
  </w:style>
  <w:style w:type="paragraph" w:customStyle="1" w:styleId="BulletCALetter">
    <w:name w:val="Bullet C (A. Letter)"/>
    <w:basedOn w:val="Normal"/>
    <w:pPr>
      <w:suppressAutoHyphens/>
      <w:spacing w:after="0"/>
      <w:ind w:left="1080" w:hanging="360"/>
    </w:pPr>
    <w:rPr>
      <w:rFonts w:eastAsia="Times New Roman"/>
      <w:sz w:val="20"/>
      <w:szCs w:val="20"/>
    </w:rPr>
  </w:style>
  <w:style w:type="paragraph" w:customStyle="1" w:styleId="BulletDiRoman">
    <w:name w:val="Bullet D (i. Roman)"/>
    <w:basedOn w:val="Normal"/>
    <w:pPr>
      <w:suppressAutoHyphens/>
      <w:spacing w:after="0"/>
      <w:ind w:left="1440" w:hanging="360"/>
    </w:pPr>
    <w:rPr>
      <w:rFonts w:eastAsia="Times New Roman"/>
      <w:sz w:val="20"/>
      <w:szCs w:val="20"/>
    </w:rPr>
  </w:style>
  <w:style w:type="paragraph" w:customStyle="1" w:styleId="BulletEaRoman">
    <w:name w:val="Bullet E (a. Roman)"/>
    <w:basedOn w:val="Normal"/>
    <w:pPr>
      <w:suppressAutoHyphens/>
      <w:spacing w:after="0"/>
      <w:ind w:left="1800" w:hanging="360"/>
    </w:pPr>
    <w:rPr>
      <w:rFonts w:eastAsia="Times New Roman"/>
      <w:sz w:val="20"/>
      <w:szCs w:val="20"/>
    </w:rPr>
  </w:style>
  <w:style w:type="paragraph" w:customStyle="1" w:styleId="BulletC">
    <w:name w:val="Bullet C"/>
    <w:basedOn w:val="Normal"/>
    <w:pPr>
      <w:tabs>
        <w:tab w:val="left" w:pos="-1440"/>
        <w:tab w:val="left" w:pos="-720"/>
      </w:tabs>
      <w:suppressAutoHyphens/>
      <w:spacing w:after="0"/>
      <w:ind w:left="1080" w:hanging="360"/>
    </w:pPr>
    <w:rPr>
      <w:rFonts w:eastAsia="Times New Roman"/>
      <w:color w:val="000000"/>
      <w:spacing w:val="-3"/>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C17"/>
    <w:pPr>
      <w:spacing w:before="0" w:after="0"/>
    </w:pPr>
    <w:rPr>
      <w:sz w:val="20"/>
      <w:szCs w:val="20"/>
    </w:rPr>
  </w:style>
  <w:style w:type="character" w:customStyle="1" w:styleId="EndnoteTextChar">
    <w:name w:val="Endnote Text Char"/>
    <w:basedOn w:val="DefaultParagraphFont"/>
    <w:link w:val="EndnoteText"/>
    <w:uiPriority w:val="99"/>
    <w:semiHidden/>
    <w:rsid w:val="004E4C1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E4C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ind w:left="180"/>
    </w:pPr>
    <w:rPr>
      <w:rFonts w:ascii="Times New Roman" w:hAnsi="Times New Roman" w:cs="Times New Roman"/>
    </w:rPr>
  </w:style>
  <w:style w:type="paragraph" w:styleId="Heading1">
    <w:name w:val="heading 1"/>
    <w:basedOn w:val="Normal"/>
    <w:next w:val="Normal"/>
    <w:link w:val="Heading1Char"/>
    <w:uiPriority w:val="9"/>
    <w:qFormat/>
    <w:pPr>
      <w:keepNext/>
      <w:keepLines/>
      <w:pBdr>
        <w:bottom w:val="single" w:sz="18" w:space="1" w:color="auto"/>
      </w:pBdr>
      <w:spacing w:before="240" w:after="240"/>
      <w:ind w:left="0"/>
      <w:outlineLvl w:val="0"/>
    </w:pPr>
    <w:rPr>
      <w:rFonts w:ascii="Times New Roman Bold" w:eastAsiaTheme="majorEastAsia" w:hAnsi="Times New Roman Bold"/>
      <w:b/>
      <w:bCs/>
      <w:smallCaps/>
      <w:spacing w:val="22"/>
      <w:sz w:val="40"/>
      <w:szCs w:val="28"/>
    </w:rPr>
  </w:style>
  <w:style w:type="paragraph" w:styleId="Heading2">
    <w:name w:val="heading 2"/>
    <w:basedOn w:val="Default"/>
    <w:next w:val="Normal"/>
    <w:link w:val="Heading2Char"/>
    <w:uiPriority w:val="9"/>
    <w:unhideWhenUsed/>
    <w:qFormat/>
    <w:pPr>
      <w:spacing w:before="240" w:after="120"/>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pPr>
      <w:ind w:left="0"/>
      <w:outlineLvl w:val="2"/>
    </w:pPr>
    <w:rPr>
      <w:b/>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pacing w:val="22"/>
      <w:sz w:val="40"/>
      <w:szCs w:val="28"/>
    </w:rPr>
  </w:style>
  <w:style w:type="character" w:customStyle="1" w:styleId="Heading2Char">
    <w:name w:val="Heading 2 Char"/>
    <w:basedOn w:val="DefaultParagraphFont"/>
    <w:link w:val="Heading2"/>
    <w:uiPriority w:val="9"/>
    <w:rPr>
      <w:rFonts w:ascii="Times New Roman" w:hAnsi="Times New Roman" w:cs="Times New Roman"/>
      <w:b/>
      <w:color w:val="000000"/>
      <w:sz w:val="26"/>
      <w:szCs w:val="26"/>
    </w:rPr>
  </w:style>
  <w:style w:type="paragraph" w:styleId="FootnoteText">
    <w:name w:val="footnote text"/>
    <w:basedOn w:val="Normal"/>
    <w:link w:val="FootnoteTextChar"/>
    <w:uiPriority w:val="99"/>
    <w:unhideWhenUsed/>
    <w:pPr>
      <w:spacing w:after="0"/>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pPr>
      <w:spacing w:after="0" w:line="240" w:lineRule="auto"/>
    </w:pPr>
  </w:style>
  <w:style w:type="character" w:customStyle="1" w:styleId="Heading3Char">
    <w:name w:val="Heading 3 Char"/>
    <w:basedOn w:val="DefaultParagraphFont"/>
    <w:link w:val="Heading3"/>
    <w:uiPriority w:val="9"/>
    <w:rPr>
      <w:rFonts w:ascii="Times New Roman" w:hAnsi="Times New Roman" w:cs="Times New Roman"/>
      <w:b/>
      <w:color w:val="0070C0"/>
      <w:sz w:val="26"/>
      <w:szCs w:val="26"/>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300"/>
      <w:contextualSpacing/>
      <w:jc w:val="center"/>
    </w:pPr>
    <w:rPr>
      <w:rFonts w:eastAsiaTheme="majorEastAsia"/>
      <w:b/>
      <w:spacing w:val="5"/>
      <w:kern w:val="28"/>
      <w:sz w:val="44"/>
      <w:szCs w:val="48"/>
    </w:rPr>
  </w:style>
  <w:style w:type="character" w:customStyle="1" w:styleId="TitleChar">
    <w:name w:val="Title Char"/>
    <w:basedOn w:val="DefaultParagraphFont"/>
    <w:link w:val="Title"/>
    <w:uiPriority w:val="10"/>
    <w:rPr>
      <w:rFonts w:ascii="Times New Roman" w:eastAsiaTheme="majorEastAsia" w:hAnsi="Times New Roman" w:cs="Times New Roman"/>
      <w:b/>
      <w:spacing w:val="5"/>
      <w:kern w:val="28"/>
      <w:sz w:val="44"/>
      <w:szCs w:val="48"/>
    </w:rPr>
  </w:style>
  <w:style w:type="paragraph" w:customStyle="1" w:styleId="CASETeamResponse">
    <w:name w:val="CASE Team Response"/>
    <w:basedOn w:val="Normal"/>
    <w:qFormat/>
    <w:rPr>
      <w:color w:val="0070C0"/>
    </w:rPr>
  </w:style>
  <w:style w:type="paragraph" w:customStyle="1" w:styleId="CASEBanner">
    <w:name w:val="CASE Banner"/>
    <w:next w:val="Title"/>
    <w:qFormat/>
    <w:pPr>
      <w:shd w:val="clear" w:color="auto" w:fill="000000"/>
      <w:jc w:val="both"/>
    </w:pPr>
    <w:rPr>
      <w:rFonts w:ascii="Arial" w:eastAsia="Times New Roman" w:hAnsi="Arial" w:cs="Arial"/>
      <w:b/>
      <w:caps/>
      <w:color w:val="FFFFFF"/>
      <w:spacing w:val="20"/>
      <w:sz w:val="28"/>
      <w:szCs w:val="28"/>
    </w:rPr>
  </w:style>
  <w:style w:type="paragraph" w:customStyle="1" w:styleId="2016T24Banner">
    <w:name w:val="2016 T24 Banner"/>
    <w:basedOn w:val="CASEBanner"/>
    <w:next w:val="Normal"/>
    <w:qFormat/>
    <w:pPr>
      <w:spacing w:before="120" w:after="240" w:line="240" w:lineRule="auto"/>
      <w:jc w:val="left"/>
    </w:pPr>
    <w:rPr>
      <w:i/>
      <w:sz w:val="24"/>
    </w:rPr>
  </w:style>
  <w:style w:type="paragraph" w:customStyle="1" w:styleId="Disclaimer2">
    <w:name w:val="Disclaimer 2"/>
    <w:basedOn w:val="Disclaimer"/>
    <w:next w:val="Title"/>
    <w:rPr>
      <w:b/>
      <w:i/>
    </w:rPr>
  </w:style>
  <w:style w:type="paragraph" w:customStyle="1" w:styleId="Disclaimer">
    <w:name w:val="Disclaimer"/>
    <w:next w:val="Normal"/>
    <w:autoRedefine/>
    <w:pPr>
      <w:spacing w:before="40" w:after="40"/>
      <w:jc w:val="both"/>
    </w:pPr>
    <w:rPr>
      <w:rFonts w:ascii="Times New Roman" w:eastAsia="Times New Roman" w:hAnsi="Times New Roman" w:cs="Times New Roman"/>
      <w:snapToGrid w:val="0"/>
      <w:color w:val="000000"/>
      <w:sz w:val="16"/>
      <w:szCs w:val="20"/>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customStyle="1" w:styleId="BulletB1Number">
    <w:name w:val="Bullet B (1. Number)"/>
    <w:basedOn w:val="Normal"/>
    <w:pPr>
      <w:suppressAutoHyphens/>
      <w:spacing w:after="0"/>
      <w:ind w:left="720" w:hanging="360"/>
    </w:pPr>
    <w:rPr>
      <w:rFonts w:eastAsia="Times New Roman"/>
      <w:sz w:val="20"/>
      <w:szCs w:val="20"/>
    </w:rPr>
  </w:style>
  <w:style w:type="character" w:customStyle="1" w:styleId="Char-Bold">
    <w:name w:val="Char - Bold"/>
    <w:rPr>
      <w:b/>
    </w:rPr>
  </w:style>
  <w:style w:type="paragraph" w:customStyle="1" w:styleId="BulletCALetter">
    <w:name w:val="Bullet C (A. Letter)"/>
    <w:basedOn w:val="Normal"/>
    <w:pPr>
      <w:suppressAutoHyphens/>
      <w:spacing w:after="0"/>
      <w:ind w:left="1080" w:hanging="360"/>
    </w:pPr>
    <w:rPr>
      <w:rFonts w:eastAsia="Times New Roman"/>
      <w:sz w:val="20"/>
      <w:szCs w:val="20"/>
    </w:rPr>
  </w:style>
  <w:style w:type="paragraph" w:customStyle="1" w:styleId="BulletDiRoman">
    <w:name w:val="Bullet D (i. Roman)"/>
    <w:basedOn w:val="Normal"/>
    <w:pPr>
      <w:suppressAutoHyphens/>
      <w:spacing w:after="0"/>
      <w:ind w:left="1440" w:hanging="360"/>
    </w:pPr>
    <w:rPr>
      <w:rFonts w:eastAsia="Times New Roman"/>
      <w:sz w:val="20"/>
      <w:szCs w:val="20"/>
    </w:rPr>
  </w:style>
  <w:style w:type="paragraph" w:customStyle="1" w:styleId="BulletEaRoman">
    <w:name w:val="Bullet E (a. Roman)"/>
    <w:basedOn w:val="Normal"/>
    <w:pPr>
      <w:suppressAutoHyphens/>
      <w:spacing w:after="0"/>
      <w:ind w:left="1800" w:hanging="360"/>
    </w:pPr>
    <w:rPr>
      <w:rFonts w:eastAsia="Times New Roman"/>
      <w:sz w:val="20"/>
      <w:szCs w:val="20"/>
    </w:rPr>
  </w:style>
  <w:style w:type="paragraph" w:customStyle="1" w:styleId="BulletC">
    <w:name w:val="Bullet C"/>
    <w:basedOn w:val="Normal"/>
    <w:pPr>
      <w:tabs>
        <w:tab w:val="left" w:pos="-1440"/>
        <w:tab w:val="left" w:pos="-720"/>
      </w:tabs>
      <w:suppressAutoHyphens/>
      <w:spacing w:after="0"/>
      <w:ind w:left="1080" w:hanging="360"/>
    </w:pPr>
    <w:rPr>
      <w:rFonts w:eastAsia="Times New Roman"/>
      <w:color w:val="000000"/>
      <w:spacing w:val="-3"/>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C17"/>
    <w:pPr>
      <w:spacing w:before="0" w:after="0"/>
    </w:pPr>
    <w:rPr>
      <w:sz w:val="20"/>
      <w:szCs w:val="20"/>
    </w:rPr>
  </w:style>
  <w:style w:type="character" w:customStyle="1" w:styleId="EndnoteTextChar">
    <w:name w:val="Endnote Text Char"/>
    <w:basedOn w:val="DefaultParagraphFont"/>
    <w:link w:val="EndnoteText"/>
    <w:uiPriority w:val="99"/>
    <w:semiHidden/>
    <w:rsid w:val="004E4C1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E4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224">
      <w:bodyDiv w:val="1"/>
      <w:marLeft w:val="0"/>
      <w:marRight w:val="0"/>
      <w:marTop w:val="0"/>
      <w:marBottom w:val="0"/>
      <w:divBdr>
        <w:top w:val="none" w:sz="0" w:space="0" w:color="auto"/>
        <w:left w:val="none" w:sz="0" w:space="0" w:color="auto"/>
        <w:bottom w:val="none" w:sz="0" w:space="0" w:color="auto"/>
        <w:right w:val="none" w:sz="0" w:space="0" w:color="auto"/>
      </w:divBdr>
      <w:divsChild>
        <w:div w:id="1800300236">
          <w:marLeft w:val="0"/>
          <w:marRight w:val="0"/>
          <w:marTop w:val="0"/>
          <w:marBottom w:val="0"/>
          <w:divBdr>
            <w:top w:val="none" w:sz="0" w:space="0" w:color="auto"/>
            <w:left w:val="none" w:sz="0" w:space="0" w:color="auto"/>
            <w:bottom w:val="none" w:sz="0" w:space="0" w:color="auto"/>
            <w:right w:val="none" w:sz="0" w:space="0" w:color="auto"/>
          </w:divBdr>
        </w:div>
        <w:div w:id="905914587">
          <w:marLeft w:val="0"/>
          <w:marRight w:val="0"/>
          <w:marTop w:val="0"/>
          <w:marBottom w:val="0"/>
          <w:divBdr>
            <w:top w:val="none" w:sz="0" w:space="0" w:color="auto"/>
            <w:left w:val="none" w:sz="0" w:space="0" w:color="auto"/>
            <w:bottom w:val="none" w:sz="0" w:space="0" w:color="auto"/>
            <w:right w:val="none" w:sz="0" w:space="0" w:color="auto"/>
          </w:divBdr>
        </w:div>
        <w:div w:id="2040817228">
          <w:marLeft w:val="0"/>
          <w:marRight w:val="0"/>
          <w:marTop w:val="0"/>
          <w:marBottom w:val="0"/>
          <w:divBdr>
            <w:top w:val="none" w:sz="0" w:space="0" w:color="auto"/>
            <w:left w:val="none" w:sz="0" w:space="0" w:color="auto"/>
            <w:bottom w:val="none" w:sz="0" w:space="0" w:color="auto"/>
            <w:right w:val="none" w:sz="0" w:space="0" w:color="auto"/>
          </w:divBdr>
        </w:div>
        <w:div w:id="232660322">
          <w:marLeft w:val="0"/>
          <w:marRight w:val="0"/>
          <w:marTop w:val="0"/>
          <w:marBottom w:val="0"/>
          <w:divBdr>
            <w:top w:val="none" w:sz="0" w:space="0" w:color="auto"/>
            <w:left w:val="none" w:sz="0" w:space="0" w:color="auto"/>
            <w:bottom w:val="none" w:sz="0" w:space="0" w:color="auto"/>
            <w:right w:val="none" w:sz="0" w:space="0" w:color="auto"/>
          </w:divBdr>
        </w:div>
        <w:div w:id="1448164288">
          <w:marLeft w:val="0"/>
          <w:marRight w:val="0"/>
          <w:marTop w:val="0"/>
          <w:marBottom w:val="0"/>
          <w:divBdr>
            <w:top w:val="none" w:sz="0" w:space="0" w:color="auto"/>
            <w:left w:val="none" w:sz="0" w:space="0" w:color="auto"/>
            <w:bottom w:val="none" w:sz="0" w:space="0" w:color="auto"/>
            <w:right w:val="none" w:sz="0" w:space="0" w:color="auto"/>
          </w:divBdr>
        </w:div>
        <w:div w:id="1588004586">
          <w:marLeft w:val="0"/>
          <w:marRight w:val="0"/>
          <w:marTop w:val="0"/>
          <w:marBottom w:val="0"/>
          <w:divBdr>
            <w:top w:val="none" w:sz="0" w:space="0" w:color="auto"/>
            <w:left w:val="none" w:sz="0" w:space="0" w:color="auto"/>
            <w:bottom w:val="none" w:sz="0" w:space="0" w:color="auto"/>
            <w:right w:val="none" w:sz="0" w:space="0" w:color="auto"/>
          </w:divBdr>
        </w:div>
        <w:div w:id="1533691658">
          <w:marLeft w:val="0"/>
          <w:marRight w:val="0"/>
          <w:marTop w:val="0"/>
          <w:marBottom w:val="0"/>
          <w:divBdr>
            <w:top w:val="none" w:sz="0" w:space="0" w:color="auto"/>
            <w:left w:val="none" w:sz="0" w:space="0" w:color="auto"/>
            <w:bottom w:val="none" w:sz="0" w:space="0" w:color="auto"/>
            <w:right w:val="none" w:sz="0" w:space="0" w:color="auto"/>
          </w:divBdr>
        </w:div>
        <w:div w:id="1906330470">
          <w:marLeft w:val="0"/>
          <w:marRight w:val="0"/>
          <w:marTop w:val="0"/>
          <w:marBottom w:val="0"/>
          <w:divBdr>
            <w:top w:val="none" w:sz="0" w:space="0" w:color="auto"/>
            <w:left w:val="none" w:sz="0" w:space="0" w:color="auto"/>
            <w:bottom w:val="none" w:sz="0" w:space="0" w:color="auto"/>
            <w:right w:val="none" w:sz="0" w:space="0" w:color="auto"/>
          </w:divBdr>
        </w:div>
        <w:div w:id="840242754">
          <w:marLeft w:val="0"/>
          <w:marRight w:val="0"/>
          <w:marTop w:val="0"/>
          <w:marBottom w:val="0"/>
          <w:divBdr>
            <w:top w:val="none" w:sz="0" w:space="0" w:color="auto"/>
            <w:left w:val="none" w:sz="0" w:space="0" w:color="auto"/>
            <w:bottom w:val="none" w:sz="0" w:space="0" w:color="auto"/>
            <w:right w:val="none" w:sz="0" w:space="0" w:color="auto"/>
          </w:divBdr>
        </w:div>
        <w:div w:id="1895652921">
          <w:marLeft w:val="0"/>
          <w:marRight w:val="0"/>
          <w:marTop w:val="0"/>
          <w:marBottom w:val="0"/>
          <w:divBdr>
            <w:top w:val="none" w:sz="0" w:space="0" w:color="auto"/>
            <w:left w:val="none" w:sz="0" w:space="0" w:color="auto"/>
            <w:bottom w:val="none" w:sz="0" w:space="0" w:color="auto"/>
            <w:right w:val="none" w:sz="0" w:space="0" w:color="auto"/>
          </w:divBdr>
        </w:div>
        <w:div w:id="1608192498">
          <w:marLeft w:val="0"/>
          <w:marRight w:val="0"/>
          <w:marTop w:val="0"/>
          <w:marBottom w:val="0"/>
          <w:divBdr>
            <w:top w:val="none" w:sz="0" w:space="0" w:color="auto"/>
            <w:left w:val="none" w:sz="0" w:space="0" w:color="auto"/>
            <w:bottom w:val="none" w:sz="0" w:space="0" w:color="auto"/>
            <w:right w:val="none" w:sz="0" w:space="0" w:color="auto"/>
          </w:divBdr>
        </w:div>
        <w:div w:id="86341952">
          <w:marLeft w:val="0"/>
          <w:marRight w:val="0"/>
          <w:marTop w:val="0"/>
          <w:marBottom w:val="0"/>
          <w:divBdr>
            <w:top w:val="none" w:sz="0" w:space="0" w:color="auto"/>
            <w:left w:val="none" w:sz="0" w:space="0" w:color="auto"/>
            <w:bottom w:val="none" w:sz="0" w:space="0" w:color="auto"/>
            <w:right w:val="none" w:sz="0" w:space="0" w:color="auto"/>
          </w:divBdr>
        </w:div>
        <w:div w:id="1220241185">
          <w:marLeft w:val="0"/>
          <w:marRight w:val="0"/>
          <w:marTop w:val="0"/>
          <w:marBottom w:val="0"/>
          <w:divBdr>
            <w:top w:val="none" w:sz="0" w:space="0" w:color="auto"/>
            <w:left w:val="none" w:sz="0" w:space="0" w:color="auto"/>
            <w:bottom w:val="none" w:sz="0" w:space="0" w:color="auto"/>
            <w:right w:val="none" w:sz="0" w:space="0" w:color="auto"/>
          </w:divBdr>
        </w:div>
      </w:divsChild>
    </w:div>
    <w:div w:id="477301734">
      <w:bodyDiv w:val="1"/>
      <w:marLeft w:val="0"/>
      <w:marRight w:val="0"/>
      <w:marTop w:val="0"/>
      <w:marBottom w:val="0"/>
      <w:divBdr>
        <w:top w:val="none" w:sz="0" w:space="0" w:color="auto"/>
        <w:left w:val="none" w:sz="0" w:space="0" w:color="auto"/>
        <w:bottom w:val="none" w:sz="0" w:space="0" w:color="auto"/>
        <w:right w:val="none" w:sz="0" w:space="0" w:color="auto"/>
      </w:divBdr>
    </w:div>
    <w:div w:id="504633776">
      <w:bodyDiv w:val="1"/>
      <w:marLeft w:val="0"/>
      <w:marRight w:val="0"/>
      <w:marTop w:val="0"/>
      <w:marBottom w:val="0"/>
      <w:divBdr>
        <w:top w:val="none" w:sz="0" w:space="0" w:color="auto"/>
        <w:left w:val="none" w:sz="0" w:space="0" w:color="auto"/>
        <w:bottom w:val="none" w:sz="0" w:space="0" w:color="auto"/>
        <w:right w:val="none" w:sz="0" w:space="0" w:color="auto"/>
      </w:divBdr>
    </w:div>
    <w:div w:id="569537534">
      <w:bodyDiv w:val="1"/>
      <w:marLeft w:val="0"/>
      <w:marRight w:val="0"/>
      <w:marTop w:val="0"/>
      <w:marBottom w:val="0"/>
      <w:divBdr>
        <w:top w:val="none" w:sz="0" w:space="0" w:color="auto"/>
        <w:left w:val="none" w:sz="0" w:space="0" w:color="auto"/>
        <w:bottom w:val="none" w:sz="0" w:space="0" w:color="auto"/>
        <w:right w:val="none" w:sz="0" w:space="0" w:color="auto"/>
      </w:divBdr>
    </w:div>
    <w:div w:id="578253191">
      <w:bodyDiv w:val="1"/>
      <w:marLeft w:val="0"/>
      <w:marRight w:val="0"/>
      <w:marTop w:val="0"/>
      <w:marBottom w:val="0"/>
      <w:divBdr>
        <w:top w:val="none" w:sz="0" w:space="0" w:color="auto"/>
        <w:left w:val="none" w:sz="0" w:space="0" w:color="auto"/>
        <w:bottom w:val="none" w:sz="0" w:space="0" w:color="auto"/>
        <w:right w:val="none" w:sz="0" w:space="0" w:color="auto"/>
      </w:divBdr>
    </w:div>
    <w:div w:id="732702492">
      <w:bodyDiv w:val="1"/>
      <w:marLeft w:val="0"/>
      <w:marRight w:val="0"/>
      <w:marTop w:val="0"/>
      <w:marBottom w:val="0"/>
      <w:divBdr>
        <w:top w:val="none" w:sz="0" w:space="0" w:color="auto"/>
        <w:left w:val="none" w:sz="0" w:space="0" w:color="auto"/>
        <w:bottom w:val="none" w:sz="0" w:space="0" w:color="auto"/>
        <w:right w:val="none" w:sz="0" w:space="0" w:color="auto"/>
      </w:divBdr>
    </w:div>
    <w:div w:id="973174611">
      <w:bodyDiv w:val="1"/>
      <w:marLeft w:val="0"/>
      <w:marRight w:val="0"/>
      <w:marTop w:val="0"/>
      <w:marBottom w:val="0"/>
      <w:divBdr>
        <w:top w:val="none" w:sz="0" w:space="0" w:color="auto"/>
        <w:left w:val="none" w:sz="0" w:space="0" w:color="auto"/>
        <w:bottom w:val="none" w:sz="0" w:space="0" w:color="auto"/>
        <w:right w:val="none" w:sz="0" w:space="0" w:color="auto"/>
      </w:divBdr>
      <w:divsChild>
        <w:div w:id="299965199">
          <w:marLeft w:val="0"/>
          <w:marRight w:val="0"/>
          <w:marTop w:val="0"/>
          <w:marBottom w:val="0"/>
          <w:divBdr>
            <w:top w:val="none" w:sz="0" w:space="0" w:color="auto"/>
            <w:left w:val="none" w:sz="0" w:space="0" w:color="auto"/>
            <w:bottom w:val="none" w:sz="0" w:space="0" w:color="auto"/>
            <w:right w:val="none" w:sz="0" w:space="0" w:color="auto"/>
          </w:divBdr>
        </w:div>
        <w:div w:id="247427763">
          <w:marLeft w:val="0"/>
          <w:marRight w:val="0"/>
          <w:marTop w:val="0"/>
          <w:marBottom w:val="0"/>
          <w:divBdr>
            <w:top w:val="none" w:sz="0" w:space="0" w:color="auto"/>
            <w:left w:val="none" w:sz="0" w:space="0" w:color="auto"/>
            <w:bottom w:val="none" w:sz="0" w:space="0" w:color="auto"/>
            <w:right w:val="none" w:sz="0" w:space="0" w:color="auto"/>
          </w:divBdr>
        </w:div>
        <w:div w:id="1663197314">
          <w:marLeft w:val="0"/>
          <w:marRight w:val="0"/>
          <w:marTop w:val="0"/>
          <w:marBottom w:val="0"/>
          <w:divBdr>
            <w:top w:val="none" w:sz="0" w:space="0" w:color="auto"/>
            <w:left w:val="none" w:sz="0" w:space="0" w:color="auto"/>
            <w:bottom w:val="none" w:sz="0" w:space="0" w:color="auto"/>
            <w:right w:val="none" w:sz="0" w:space="0" w:color="auto"/>
          </w:divBdr>
        </w:div>
        <w:div w:id="2137067978">
          <w:marLeft w:val="0"/>
          <w:marRight w:val="0"/>
          <w:marTop w:val="0"/>
          <w:marBottom w:val="0"/>
          <w:divBdr>
            <w:top w:val="none" w:sz="0" w:space="0" w:color="auto"/>
            <w:left w:val="none" w:sz="0" w:space="0" w:color="auto"/>
            <w:bottom w:val="none" w:sz="0" w:space="0" w:color="auto"/>
            <w:right w:val="none" w:sz="0" w:space="0" w:color="auto"/>
          </w:divBdr>
        </w:div>
        <w:div w:id="107555691">
          <w:marLeft w:val="0"/>
          <w:marRight w:val="0"/>
          <w:marTop w:val="0"/>
          <w:marBottom w:val="0"/>
          <w:divBdr>
            <w:top w:val="none" w:sz="0" w:space="0" w:color="auto"/>
            <w:left w:val="none" w:sz="0" w:space="0" w:color="auto"/>
            <w:bottom w:val="none" w:sz="0" w:space="0" w:color="auto"/>
            <w:right w:val="none" w:sz="0" w:space="0" w:color="auto"/>
          </w:divBdr>
        </w:div>
        <w:div w:id="1111631175">
          <w:marLeft w:val="0"/>
          <w:marRight w:val="0"/>
          <w:marTop w:val="0"/>
          <w:marBottom w:val="0"/>
          <w:divBdr>
            <w:top w:val="none" w:sz="0" w:space="0" w:color="auto"/>
            <w:left w:val="none" w:sz="0" w:space="0" w:color="auto"/>
            <w:bottom w:val="none" w:sz="0" w:space="0" w:color="auto"/>
            <w:right w:val="none" w:sz="0" w:space="0" w:color="auto"/>
          </w:divBdr>
        </w:div>
        <w:div w:id="507446113">
          <w:marLeft w:val="0"/>
          <w:marRight w:val="0"/>
          <w:marTop w:val="0"/>
          <w:marBottom w:val="0"/>
          <w:divBdr>
            <w:top w:val="none" w:sz="0" w:space="0" w:color="auto"/>
            <w:left w:val="none" w:sz="0" w:space="0" w:color="auto"/>
            <w:bottom w:val="none" w:sz="0" w:space="0" w:color="auto"/>
            <w:right w:val="none" w:sz="0" w:space="0" w:color="auto"/>
          </w:divBdr>
        </w:div>
        <w:div w:id="793325612">
          <w:marLeft w:val="0"/>
          <w:marRight w:val="0"/>
          <w:marTop w:val="0"/>
          <w:marBottom w:val="0"/>
          <w:divBdr>
            <w:top w:val="none" w:sz="0" w:space="0" w:color="auto"/>
            <w:left w:val="none" w:sz="0" w:space="0" w:color="auto"/>
            <w:bottom w:val="none" w:sz="0" w:space="0" w:color="auto"/>
            <w:right w:val="none" w:sz="0" w:space="0" w:color="auto"/>
          </w:divBdr>
        </w:div>
        <w:div w:id="462037350">
          <w:marLeft w:val="0"/>
          <w:marRight w:val="0"/>
          <w:marTop w:val="0"/>
          <w:marBottom w:val="0"/>
          <w:divBdr>
            <w:top w:val="none" w:sz="0" w:space="0" w:color="auto"/>
            <w:left w:val="none" w:sz="0" w:space="0" w:color="auto"/>
            <w:bottom w:val="none" w:sz="0" w:space="0" w:color="auto"/>
            <w:right w:val="none" w:sz="0" w:space="0" w:color="auto"/>
          </w:divBdr>
        </w:div>
        <w:div w:id="1714885266">
          <w:marLeft w:val="0"/>
          <w:marRight w:val="0"/>
          <w:marTop w:val="0"/>
          <w:marBottom w:val="0"/>
          <w:divBdr>
            <w:top w:val="none" w:sz="0" w:space="0" w:color="auto"/>
            <w:left w:val="none" w:sz="0" w:space="0" w:color="auto"/>
            <w:bottom w:val="none" w:sz="0" w:space="0" w:color="auto"/>
            <w:right w:val="none" w:sz="0" w:space="0" w:color="auto"/>
          </w:divBdr>
        </w:div>
        <w:div w:id="1961377650">
          <w:marLeft w:val="0"/>
          <w:marRight w:val="0"/>
          <w:marTop w:val="0"/>
          <w:marBottom w:val="0"/>
          <w:divBdr>
            <w:top w:val="none" w:sz="0" w:space="0" w:color="auto"/>
            <w:left w:val="none" w:sz="0" w:space="0" w:color="auto"/>
            <w:bottom w:val="none" w:sz="0" w:space="0" w:color="auto"/>
            <w:right w:val="none" w:sz="0" w:space="0" w:color="auto"/>
          </w:divBdr>
        </w:div>
        <w:div w:id="205411235">
          <w:marLeft w:val="0"/>
          <w:marRight w:val="0"/>
          <w:marTop w:val="0"/>
          <w:marBottom w:val="0"/>
          <w:divBdr>
            <w:top w:val="none" w:sz="0" w:space="0" w:color="auto"/>
            <w:left w:val="none" w:sz="0" w:space="0" w:color="auto"/>
            <w:bottom w:val="none" w:sz="0" w:space="0" w:color="auto"/>
            <w:right w:val="none" w:sz="0" w:space="0" w:color="auto"/>
          </w:divBdr>
        </w:div>
        <w:div w:id="899483526">
          <w:marLeft w:val="0"/>
          <w:marRight w:val="0"/>
          <w:marTop w:val="0"/>
          <w:marBottom w:val="0"/>
          <w:divBdr>
            <w:top w:val="none" w:sz="0" w:space="0" w:color="auto"/>
            <w:left w:val="none" w:sz="0" w:space="0" w:color="auto"/>
            <w:bottom w:val="none" w:sz="0" w:space="0" w:color="auto"/>
            <w:right w:val="none" w:sz="0" w:space="0" w:color="auto"/>
          </w:divBdr>
        </w:div>
      </w:divsChild>
    </w:div>
    <w:div w:id="1514032465">
      <w:bodyDiv w:val="1"/>
      <w:marLeft w:val="0"/>
      <w:marRight w:val="0"/>
      <w:marTop w:val="0"/>
      <w:marBottom w:val="0"/>
      <w:divBdr>
        <w:top w:val="none" w:sz="0" w:space="0" w:color="auto"/>
        <w:left w:val="none" w:sz="0" w:space="0" w:color="auto"/>
        <w:bottom w:val="none" w:sz="0" w:space="0" w:color="auto"/>
        <w:right w:val="none" w:sz="0" w:space="0" w:color="auto"/>
      </w:divBdr>
      <w:divsChild>
        <w:div w:id="575674648">
          <w:marLeft w:val="0"/>
          <w:marRight w:val="0"/>
          <w:marTop w:val="0"/>
          <w:marBottom w:val="0"/>
          <w:divBdr>
            <w:top w:val="none" w:sz="0" w:space="0" w:color="auto"/>
            <w:left w:val="none" w:sz="0" w:space="0" w:color="auto"/>
            <w:bottom w:val="none" w:sz="0" w:space="0" w:color="auto"/>
            <w:right w:val="none" w:sz="0" w:space="0" w:color="auto"/>
          </w:divBdr>
        </w:div>
        <w:div w:id="765463300">
          <w:marLeft w:val="0"/>
          <w:marRight w:val="0"/>
          <w:marTop w:val="0"/>
          <w:marBottom w:val="0"/>
          <w:divBdr>
            <w:top w:val="none" w:sz="0" w:space="0" w:color="auto"/>
            <w:left w:val="none" w:sz="0" w:space="0" w:color="auto"/>
            <w:bottom w:val="none" w:sz="0" w:space="0" w:color="auto"/>
            <w:right w:val="none" w:sz="0" w:space="0" w:color="auto"/>
          </w:divBdr>
        </w:div>
        <w:div w:id="868450160">
          <w:marLeft w:val="0"/>
          <w:marRight w:val="0"/>
          <w:marTop w:val="0"/>
          <w:marBottom w:val="0"/>
          <w:divBdr>
            <w:top w:val="none" w:sz="0" w:space="0" w:color="auto"/>
            <w:left w:val="none" w:sz="0" w:space="0" w:color="auto"/>
            <w:bottom w:val="none" w:sz="0" w:space="0" w:color="auto"/>
            <w:right w:val="none" w:sz="0" w:space="0" w:color="auto"/>
          </w:divBdr>
        </w:div>
        <w:div w:id="468859960">
          <w:marLeft w:val="0"/>
          <w:marRight w:val="0"/>
          <w:marTop w:val="0"/>
          <w:marBottom w:val="0"/>
          <w:divBdr>
            <w:top w:val="none" w:sz="0" w:space="0" w:color="auto"/>
            <w:left w:val="none" w:sz="0" w:space="0" w:color="auto"/>
            <w:bottom w:val="none" w:sz="0" w:space="0" w:color="auto"/>
            <w:right w:val="none" w:sz="0" w:space="0" w:color="auto"/>
          </w:divBdr>
        </w:div>
        <w:div w:id="1131896030">
          <w:marLeft w:val="0"/>
          <w:marRight w:val="0"/>
          <w:marTop w:val="0"/>
          <w:marBottom w:val="0"/>
          <w:divBdr>
            <w:top w:val="none" w:sz="0" w:space="0" w:color="auto"/>
            <w:left w:val="none" w:sz="0" w:space="0" w:color="auto"/>
            <w:bottom w:val="none" w:sz="0" w:space="0" w:color="auto"/>
            <w:right w:val="none" w:sz="0" w:space="0" w:color="auto"/>
          </w:divBdr>
        </w:div>
        <w:div w:id="1133056509">
          <w:marLeft w:val="0"/>
          <w:marRight w:val="0"/>
          <w:marTop w:val="0"/>
          <w:marBottom w:val="0"/>
          <w:divBdr>
            <w:top w:val="none" w:sz="0" w:space="0" w:color="auto"/>
            <w:left w:val="none" w:sz="0" w:space="0" w:color="auto"/>
            <w:bottom w:val="none" w:sz="0" w:space="0" w:color="auto"/>
            <w:right w:val="none" w:sz="0" w:space="0" w:color="auto"/>
          </w:divBdr>
        </w:div>
        <w:div w:id="825784579">
          <w:marLeft w:val="0"/>
          <w:marRight w:val="0"/>
          <w:marTop w:val="0"/>
          <w:marBottom w:val="0"/>
          <w:divBdr>
            <w:top w:val="none" w:sz="0" w:space="0" w:color="auto"/>
            <w:left w:val="none" w:sz="0" w:space="0" w:color="auto"/>
            <w:bottom w:val="none" w:sz="0" w:space="0" w:color="auto"/>
            <w:right w:val="none" w:sz="0" w:space="0" w:color="auto"/>
          </w:divBdr>
        </w:div>
        <w:div w:id="322704825">
          <w:marLeft w:val="0"/>
          <w:marRight w:val="0"/>
          <w:marTop w:val="0"/>
          <w:marBottom w:val="0"/>
          <w:divBdr>
            <w:top w:val="none" w:sz="0" w:space="0" w:color="auto"/>
            <w:left w:val="none" w:sz="0" w:space="0" w:color="auto"/>
            <w:bottom w:val="none" w:sz="0" w:space="0" w:color="auto"/>
            <w:right w:val="none" w:sz="0" w:space="0" w:color="auto"/>
          </w:divBdr>
        </w:div>
        <w:div w:id="2066024031">
          <w:marLeft w:val="0"/>
          <w:marRight w:val="0"/>
          <w:marTop w:val="0"/>
          <w:marBottom w:val="0"/>
          <w:divBdr>
            <w:top w:val="none" w:sz="0" w:space="0" w:color="auto"/>
            <w:left w:val="none" w:sz="0" w:space="0" w:color="auto"/>
            <w:bottom w:val="none" w:sz="0" w:space="0" w:color="auto"/>
            <w:right w:val="none" w:sz="0" w:space="0" w:color="auto"/>
          </w:divBdr>
        </w:div>
        <w:div w:id="1895698785">
          <w:marLeft w:val="0"/>
          <w:marRight w:val="0"/>
          <w:marTop w:val="0"/>
          <w:marBottom w:val="0"/>
          <w:divBdr>
            <w:top w:val="none" w:sz="0" w:space="0" w:color="auto"/>
            <w:left w:val="none" w:sz="0" w:space="0" w:color="auto"/>
            <w:bottom w:val="none" w:sz="0" w:space="0" w:color="auto"/>
            <w:right w:val="none" w:sz="0" w:space="0" w:color="auto"/>
          </w:divBdr>
        </w:div>
        <w:div w:id="1378050599">
          <w:marLeft w:val="0"/>
          <w:marRight w:val="0"/>
          <w:marTop w:val="0"/>
          <w:marBottom w:val="0"/>
          <w:divBdr>
            <w:top w:val="none" w:sz="0" w:space="0" w:color="auto"/>
            <w:left w:val="none" w:sz="0" w:space="0" w:color="auto"/>
            <w:bottom w:val="none" w:sz="0" w:space="0" w:color="auto"/>
            <w:right w:val="none" w:sz="0" w:space="0" w:color="auto"/>
          </w:divBdr>
        </w:div>
        <w:div w:id="714081876">
          <w:marLeft w:val="0"/>
          <w:marRight w:val="0"/>
          <w:marTop w:val="0"/>
          <w:marBottom w:val="0"/>
          <w:divBdr>
            <w:top w:val="none" w:sz="0" w:space="0" w:color="auto"/>
            <w:left w:val="none" w:sz="0" w:space="0" w:color="auto"/>
            <w:bottom w:val="none" w:sz="0" w:space="0" w:color="auto"/>
            <w:right w:val="none" w:sz="0" w:space="0" w:color="auto"/>
          </w:divBdr>
        </w:div>
        <w:div w:id="1116026936">
          <w:marLeft w:val="0"/>
          <w:marRight w:val="0"/>
          <w:marTop w:val="0"/>
          <w:marBottom w:val="0"/>
          <w:divBdr>
            <w:top w:val="none" w:sz="0" w:space="0" w:color="auto"/>
            <w:left w:val="none" w:sz="0" w:space="0" w:color="auto"/>
            <w:bottom w:val="none" w:sz="0" w:space="0" w:color="auto"/>
            <w:right w:val="none" w:sz="0" w:space="0" w:color="auto"/>
          </w:divBdr>
        </w:div>
        <w:div w:id="1296447217">
          <w:marLeft w:val="0"/>
          <w:marRight w:val="0"/>
          <w:marTop w:val="0"/>
          <w:marBottom w:val="0"/>
          <w:divBdr>
            <w:top w:val="none" w:sz="0" w:space="0" w:color="auto"/>
            <w:left w:val="none" w:sz="0" w:space="0" w:color="auto"/>
            <w:bottom w:val="none" w:sz="0" w:space="0" w:color="auto"/>
            <w:right w:val="none" w:sz="0" w:space="0" w:color="auto"/>
          </w:divBdr>
        </w:div>
        <w:div w:id="1279991977">
          <w:marLeft w:val="0"/>
          <w:marRight w:val="0"/>
          <w:marTop w:val="0"/>
          <w:marBottom w:val="0"/>
          <w:divBdr>
            <w:top w:val="none" w:sz="0" w:space="0" w:color="auto"/>
            <w:left w:val="none" w:sz="0" w:space="0" w:color="auto"/>
            <w:bottom w:val="none" w:sz="0" w:space="0" w:color="auto"/>
            <w:right w:val="none" w:sz="0" w:space="0" w:color="auto"/>
          </w:divBdr>
        </w:div>
        <w:div w:id="254288568">
          <w:marLeft w:val="0"/>
          <w:marRight w:val="0"/>
          <w:marTop w:val="0"/>
          <w:marBottom w:val="0"/>
          <w:divBdr>
            <w:top w:val="none" w:sz="0" w:space="0" w:color="auto"/>
            <w:left w:val="none" w:sz="0" w:space="0" w:color="auto"/>
            <w:bottom w:val="none" w:sz="0" w:space="0" w:color="auto"/>
            <w:right w:val="none" w:sz="0" w:space="0" w:color="auto"/>
          </w:divBdr>
        </w:div>
        <w:div w:id="2109813368">
          <w:marLeft w:val="0"/>
          <w:marRight w:val="0"/>
          <w:marTop w:val="0"/>
          <w:marBottom w:val="0"/>
          <w:divBdr>
            <w:top w:val="none" w:sz="0" w:space="0" w:color="auto"/>
            <w:left w:val="none" w:sz="0" w:space="0" w:color="auto"/>
            <w:bottom w:val="none" w:sz="0" w:space="0" w:color="auto"/>
            <w:right w:val="none" w:sz="0" w:space="0" w:color="auto"/>
          </w:divBdr>
        </w:div>
        <w:div w:id="1286346388">
          <w:marLeft w:val="0"/>
          <w:marRight w:val="0"/>
          <w:marTop w:val="0"/>
          <w:marBottom w:val="0"/>
          <w:divBdr>
            <w:top w:val="none" w:sz="0" w:space="0" w:color="auto"/>
            <w:left w:val="none" w:sz="0" w:space="0" w:color="auto"/>
            <w:bottom w:val="none" w:sz="0" w:space="0" w:color="auto"/>
            <w:right w:val="none" w:sz="0" w:space="0" w:color="auto"/>
          </w:divBdr>
        </w:div>
        <w:div w:id="960649747">
          <w:marLeft w:val="0"/>
          <w:marRight w:val="0"/>
          <w:marTop w:val="0"/>
          <w:marBottom w:val="0"/>
          <w:divBdr>
            <w:top w:val="none" w:sz="0" w:space="0" w:color="auto"/>
            <w:left w:val="none" w:sz="0" w:space="0" w:color="auto"/>
            <w:bottom w:val="none" w:sz="0" w:space="0" w:color="auto"/>
            <w:right w:val="none" w:sz="0" w:space="0" w:color="auto"/>
          </w:divBdr>
        </w:div>
        <w:div w:id="688725771">
          <w:marLeft w:val="0"/>
          <w:marRight w:val="0"/>
          <w:marTop w:val="0"/>
          <w:marBottom w:val="0"/>
          <w:divBdr>
            <w:top w:val="none" w:sz="0" w:space="0" w:color="auto"/>
            <w:left w:val="none" w:sz="0" w:space="0" w:color="auto"/>
            <w:bottom w:val="none" w:sz="0" w:space="0" w:color="auto"/>
            <w:right w:val="none" w:sz="0" w:space="0" w:color="auto"/>
          </w:divBdr>
        </w:div>
        <w:div w:id="7952286">
          <w:marLeft w:val="0"/>
          <w:marRight w:val="0"/>
          <w:marTop w:val="0"/>
          <w:marBottom w:val="0"/>
          <w:divBdr>
            <w:top w:val="none" w:sz="0" w:space="0" w:color="auto"/>
            <w:left w:val="none" w:sz="0" w:space="0" w:color="auto"/>
            <w:bottom w:val="none" w:sz="0" w:space="0" w:color="auto"/>
            <w:right w:val="none" w:sz="0" w:space="0" w:color="auto"/>
          </w:divBdr>
        </w:div>
        <w:div w:id="1958876122">
          <w:marLeft w:val="0"/>
          <w:marRight w:val="0"/>
          <w:marTop w:val="0"/>
          <w:marBottom w:val="0"/>
          <w:divBdr>
            <w:top w:val="none" w:sz="0" w:space="0" w:color="auto"/>
            <w:left w:val="none" w:sz="0" w:space="0" w:color="auto"/>
            <w:bottom w:val="none" w:sz="0" w:space="0" w:color="auto"/>
            <w:right w:val="none" w:sz="0" w:space="0" w:color="auto"/>
          </w:divBdr>
        </w:div>
        <w:div w:id="301227797">
          <w:marLeft w:val="0"/>
          <w:marRight w:val="0"/>
          <w:marTop w:val="0"/>
          <w:marBottom w:val="0"/>
          <w:divBdr>
            <w:top w:val="none" w:sz="0" w:space="0" w:color="auto"/>
            <w:left w:val="none" w:sz="0" w:space="0" w:color="auto"/>
            <w:bottom w:val="none" w:sz="0" w:space="0" w:color="auto"/>
            <w:right w:val="none" w:sz="0" w:space="0" w:color="auto"/>
          </w:divBdr>
        </w:div>
        <w:div w:id="1363632501">
          <w:marLeft w:val="0"/>
          <w:marRight w:val="0"/>
          <w:marTop w:val="0"/>
          <w:marBottom w:val="0"/>
          <w:divBdr>
            <w:top w:val="none" w:sz="0" w:space="0" w:color="auto"/>
            <w:left w:val="none" w:sz="0" w:space="0" w:color="auto"/>
            <w:bottom w:val="none" w:sz="0" w:space="0" w:color="auto"/>
            <w:right w:val="none" w:sz="0" w:space="0" w:color="auto"/>
          </w:divBdr>
        </w:div>
        <w:div w:id="1787851919">
          <w:marLeft w:val="0"/>
          <w:marRight w:val="0"/>
          <w:marTop w:val="0"/>
          <w:marBottom w:val="0"/>
          <w:divBdr>
            <w:top w:val="none" w:sz="0" w:space="0" w:color="auto"/>
            <w:left w:val="none" w:sz="0" w:space="0" w:color="auto"/>
            <w:bottom w:val="none" w:sz="0" w:space="0" w:color="auto"/>
            <w:right w:val="none" w:sz="0" w:space="0" w:color="auto"/>
          </w:divBdr>
        </w:div>
        <w:div w:id="1134442583">
          <w:marLeft w:val="0"/>
          <w:marRight w:val="0"/>
          <w:marTop w:val="0"/>
          <w:marBottom w:val="0"/>
          <w:divBdr>
            <w:top w:val="none" w:sz="0" w:space="0" w:color="auto"/>
            <w:left w:val="none" w:sz="0" w:space="0" w:color="auto"/>
            <w:bottom w:val="none" w:sz="0" w:space="0" w:color="auto"/>
            <w:right w:val="none" w:sz="0" w:space="0" w:color="auto"/>
          </w:divBdr>
        </w:div>
        <w:div w:id="1917858674">
          <w:marLeft w:val="0"/>
          <w:marRight w:val="0"/>
          <w:marTop w:val="0"/>
          <w:marBottom w:val="0"/>
          <w:divBdr>
            <w:top w:val="none" w:sz="0" w:space="0" w:color="auto"/>
            <w:left w:val="none" w:sz="0" w:space="0" w:color="auto"/>
            <w:bottom w:val="none" w:sz="0" w:space="0" w:color="auto"/>
            <w:right w:val="none" w:sz="0" w:space="0" w:color="auto"/>
          </w:divBdr>
        </w:div>
        <w:div w:id="740056453">
          <w:marLeft w:val="0"/>
          <w:marRight w:val="0"/>
          <w:marTop w:val="0"/>
          <w:marBottom w:val="0"/>
          <w:divBdr>
            <w:top w:val="none" w:sz="0" w:space="0" w:color="auto"/>
            <w:left w:val="none" w:sz="0" w:space="0" w:color="auto"/>
            <w:bottom w:val="none" w:sz="0" w:space="0" w:color="auto"/>
            <w:right w:val="none" w:sz="0" w:space="0" w:color="auto"/>
          </w:divBdr>
        </w:div>
        <w:div w:id="1811748440">
          <w:marLeft w:val="0"/>
          <w:marRight w:val="0"/>
          <w:marTop w:val="0"/>
          <w:marBottom w:val="0"/>
          <w:divBdr>
            <w:top w:val="none" w:sz="0" w:space="0" w:color="auto"/>
            <w:left w:val="none" w:sz="0" w:space="0" w:color="auto"/>
            <w:bottom w:val="none" w:sz="0" w:space="0" w:color="auto"/>
            <w:right w:val="none" w:sz="0" w:space="0" w:color="auto"/>
          </w:divBdr>
        </w:div>
        <w:div w:id="1091702614">
          <w:marLeft w:val="0"/>
          <w:marRight w:val="0"/>
          <w:marTop w:val="0"/>
          <w:marBottom w:val="0"/>
          <w:divBdr>
            <w:top w:val="none" w:sz="0" w:space="0" w:color="auto"/>
            <w:left w:val="none" w:sz="0" w:space="0" w:color="auto"/>
            <w:bottom w:val="none" w:sz="0" w:space="0" w:color="auto"/>
            <w:right w:val="none" w:sz="0" w:space="0" w:color="auto"/>
          </w:divBdr>
        </w:div>
        <w:div w:id="1488934176">
          <w:marLeft w:val="0"/>
          <w:marRight w:val="0"/>
          <w:marTop w:val="0"/>
          <w:marBottom w:val="0"/>
          <w:divBdr>
            <w:top w:val="none" w:sz="0" w:space="0" w:color="auto"/>
            <w:left w:val="none" w:sz="0" w:space="0" w:color="auto"/>
            <w:bottom w:val="none" w:sz="0" w:space="0" w:color="auto"/>
            <w:right w:val="none" w:sz="0" w:space="0" w:color="auto"/>
          </w:divBdr>
        </w:div>
        <w:div w:id="1174688117">
          <w:marLeft w:val="0"/>
          <w:marRight w:val="0"/>
          <w:marTop w:val="0"/>
          <w:marBottom w:val="0"/>
          <w:divBdr>
            <w:top w:val="none" w:sz="0" w:space="0" w:color="auto"/>
            <w:left w:val="none" w:sz="0" w:space="0" w:color="auto"/>
            <w:bottom w:val="none" w:sz="0" w:space="0" w:color="auto"/>
            <w:right w:val="none" w:sz="0" w:space="0" w:color="auto"/>
          </w:divBdr>
        </w:div>
        <w:div w:id="630667643">
          <w:marLeft w:val="0"/>
          <w:marRight w:val="0"/>
          <w:marTop w:val="0"/>
          <w:marBottom w:val="0"/>
          <w:divBdr>
            <w:top w:val="none" w:sz="0" w:space="0" w:color="auto"/>
            <w:left w:val="none" w:sz="0" w:space="0" w:color="auto"/>
            <w:bottom w:val="none" w:sz="0" w:space="0" w:color="auto"/>
            <w:right w:val="none" w:sz="0" w:space="0" w:color="auto"/>
          </w:divBdr>
        </w:div>
        <w:div w:id="931741124">
          <w:marLeft w:val="0"/>
          <w:marRight w:val="0"/>
          <w:marTop w:val="0"/>
          <w:marBottom w:val="0"/>
          <w:divBdr>
            <w:top w:val="none" w:sz="0" w:space="0" w:color="auto"/>
            <w:left w:val="none" w:sz="0" w:space="0" w:color="auto"/>
            <w:bottom w:val="none" w:sz="0" w:space="0" w:color="auto"/>
            <w:right w:val="none" w:sz="0" w:space="0" w:color="auto"/>
          </w:divBdr>
        </w:div>
        <w:div w:id="710496089">
          <w:marLeft w:val="0"/>
          <w:marRight w:val="0"/>
          <w:marTop w:val="0"/>
          <w:marBottom w:val="0"/>
          <w:divBdr>
            <w:top w:val="none" w:sz="0" w:space="0" w:color="auto"/>
            <w:left w:val="none" w:sz="0" w:space="0" w:color="auto"/>
            <w:bottom w:val="none" w:sz="0" w:space="0" w:color="auto"/>
            <w:right w:val="none" w:sz="0" w:space="0" w:color="auto"/>
          </w:divBdr>
        </w:div>
        <w:div w:id="415522005">
          <w:marLeft w:val="0"/>
          <w:marRight w:val="0"/>
          <w:marTop w:val="0"/>
          <w:marBottom w:val="0"/>
          <w:divBdr>
            <w:top w:val="none" w:sz="0" w:space="0" w:color="auto"/>
            <w:left w:val="none" w:sz="0" w:space="0" w:color="auto"/>
            <w:bottom w:val="none" w:sz="0" w:space="0" w:color="auto"/>
            <w:right w:val="none" w:sz="0" w:space="0" w:color="auto"/>
          </w:divBdr>
        </w:div>
        <w:div w:id="2117484536">
          <w:marLeft w:val="0"/>
          <w:marRight w:val="0"/>
          <w:marTop w:val="0"/>
          <w:marBottom w:val="0"/>
          <w:divBdr>
            <w:top w:val="none" w:sz="0" w:space="0" w:color="auto"/>
            <w:left w:val="none" w:sz="0" w:space="0" w:color="auto"/>
            <w:bottom w:val="none" w:sz="0" w:space="0" w:color="auto"/>
            <w:right w:val="none" w:sz="0" w:space="0" w:color="auto"/>
          </w:divBdr>
        </w:div>
        <w:div w:id="707682456">
          <w:marLeft w:val="0"/>
          <w:marRight w:val="0"/>
          <w:marTop w:val="0"/>
          <w:marBottom w:val="0"/>
          <w:divBdr>
            <w:top w:val="none" w:sz="0" w:space="0" w:color="auto"/>
            <w:left w:val="none" w:sz="0" w:space="0" w:color="auto"/>
            <w:bottom w:val="none" w:sz="0" w:space="0" w:color="auto"/>
            <w:right w:val="none" w:sz="0" w:space="0" w:color="auto"/>
          </w:divBdr>
        </w:div>
        <w:div w:id="1100296722">
          <w:marLeft w:val="0"/>
          <w:marRight w:val="0"/>
          <w:marTop w:val="0"/>
          <w:marBottom w:val="0"/>
          <w:divBdr>
            <w:top w:val="none" w:sz="0" w:space="0" w:color="auto"/>
            <w:left w:val="none" w:sz="0" w:space="0" w:color="auto"/>
            <w:bottom w:val="none" w:sz="0" w:space="0" w:color="auto"/>
            <w:right w:val="none" w:sz="0" w:space="0" w:color="auto"/>
          </w:divBdr>
        </w:div>
        <w:div w:id="1641685598">
          <w:marLeft w:val="0"/>
          <w:marRight w:val="0"/>
          <w:marTop w:val="0"/>
          <w:marBottom w:val="0"/>
          <w:divBdr>
            <w:top w:val="none" w:sz="0" w:space="0" w:color="auto"/>
            <w:left w:val="none" w:sz="0" w:space="0" w:color="auto"/>
            <w:bottom w:val="none" w:sz="0" w:space="0" w:color="auto"/>
            <w:right w:val="none" w:sz="0" w:space="0" w:color="auto"/>
          </w:divBdr>
        </w:div>
        <w:div w:id="108479123">
          <w:marLeft w:val="0"/>
          <w:marRight w:val="0"/>
          <w:marTop w:val="0"/>
          <w:marBottom w:val="0"/>
          <w:divBdr>
            <w:top w:val="none" w:sz="0" w:space="0" w:color="auto"/>
            <w:left w:val="none" w:sz="0" w:space="0" w:color="auto"/>
            <w:bottom w:val="none" w:sz="0" w:space="0" w:color="auto"/>
            <w:right w:val="none" w:sz="0" w:space="0" w:color="auto"/>
          </w:divBdr>
        </w:div>
        <w:div w:id="565072583">
          <w:marLeft w:val="0"/>
          <w:marRight w:val="0"/>
          <w:marTop w:val="0"/>
          <w:marBottom w:val="0"/>
          <w:divBdr>
            <w:top w:val="none" w:sz="0" w:space="0" w:color="auto"/>
            <w:left w:val="none" w:sz="0" w:space="0" w:color="auto"/>
            <w:bottom w:val="none" w:sz="0" w:space="0" w:color="auto"/>
            <w:right w:val="none" w:sz="0" w:space="0" w:color="auto"/>
          </w:divBdr>
        </w:div>
        <w:div w:id="1220170750">
          <w:marLeft w:val="0"/>
          <w:marRight w:val="0"/>
          <w:marTop w:val="0"/>
          <w:marBottom w:val="0"/>
          <w:divBdr>
            <w:top w:val="none" w:sz="0" w:space="0" w:color="auto"/>
            <w:left w:val="none" w:sz="0" w:space="0" w:color="auto"/>
            <w:bottom w:val="none" w:sz="0" w:space="0" w:color="auto"/>
            <w:right w:val="none" w:sz="0" w:space="0" w:color="auto"/>
          </w:divBdr>
        </w:div>
        <w:div w:id="1678729655">
          <w:marLeft w:val="0"/>
          <w:marRight w:val="0"/>
          <w:marTop w:val="0"/>
          <w:marBottom w:val="0"/>
          <w:divBdr>
            <w:top w:val="none" w:sz="0" w:space="0" w:color="auto"/>
            <w:left w:val="none" w:sz="0" w:space="0" w:color="auto"/>
            <w:bottom w:val="none" w:sz="0" w:space="0" w:color="auto"/>
            <w:right w:val="none" w:sz="0" w:space="0" w:color="auto"/>
          </w:divBdr>
        </w:div>
        <w:div w:id="1014570777">
          <w:marLeft w:val="0"/>
          <w:marRight w:val="0"/>
          <w:marTop w:val="0"/>
          <w:marBottom w:val="0"/>
          <w:divBdr>
            <w:top w:val="none" w:sz="0" w:space="0" w:color="auto"/>
            <w:left w:val="none" w:sz="0" w:space="0" w:color="auto"/>
            <w:bottom w:val="none" w:sz="0" w:space="0" w:color="auto"/>
            <w:right w:val="none" w:sz="0" w:space="0" w:color="auto"/>
          </w:divBdr>
        </w:div>
        <w:div w:id="229658123">
          <w:marLeft w:val="0"/>
          <w:marRight w:val="0"/>
          <w:marTop w:val="0"/>
          <w:marBottom w:val="0"/>
          <w:divBdr>
            <w:top w:val="none" w:sz="0" w:space="0" w:color="auto"/>
            <w:left w:val="none" w:sz="0" w:space="0" w:color="auto"/>
            <w:bottom w:val="none" w:sz="0" w:space="0" w:color="auto"/>
            <w:right w:val="none" w:sz="0" w:space="0" w:color="auto"/>
          </w:divBdr>
        </w:div>
        <w:div w:id="403455553">
          <w:marLeft w:val="0"/>
          <w:marRight w:val="0"/>
          <w:marTop w:val="0"/>
          <w:marBottom w:val="0"/>
          <w:divBdr>
            <w:top w:val="none" w:sz="0" w:space="0" w:color="auto"/>
            <w:left w:val="none" w:sz="0" w:space="0" w:color="auto"/>
            <w:bottom w:val="none" w:sz="0" w:space="0" w:color="auto"/>
            <w:right w:val="none" w:sz="0" w:space="0" w:color="auto"/>
          </w:divBdr>
        </w:div>
        <w:div w:id="1665624198">
          <w:marLeft w:val="0"/>
          <w:marRight w:val="0"/>
          <w:marTop w:val="0"/>
          <w:marBottom w:val="0"/>
          <w:divBdr>
            <w:top w:val="none" w:sz="0" w:space="0" w:color="auto"/>
            <w:left w:val="none" w:sz="0" w:space="0" w:color="auto"/>
            <w:bottom w:val="none" w:sz="0" w:space="0" w:color="auto"/>
            <w:right w:val="none" w:sz="0" w:space="0" w:color="auto"/>
          </w:divBdr>
        </w:div>
        <w:div w:id="139427168">
          <w:marLeft w:val="0"/>
          <w:marRight w:val="0"/>
          <w:marTop w:val="0"/>
          <w:marBottom w:val="0"/>
          <w:divBdr>
            <w:top w:val="none" w:sz="0" w:space="0" w:color="auto"/>
            <w:left w:val="none" w:sz="0" w:space="0" w:color="auto"/>
            <w:bottom w:val="none" w:sz="0" w:space="0" w:color="auto"/>
            <w:right w:val="none" w:sz="0" w:space="0" w:color="auto"/>
          </w:divBdr>
        </w:div>
        <w:div w:id="1814250209">
          <w:marLeft w:val="0"/>
          <w:marRight w:val="0"/>
          <w:marTop w:val="0"/>
          <w:marBottom w:val="0"/>
          <w:divBdr>
            <w:top w:val="none" w:sz="0" w:space="0" w:color="auto"/>
            <w:left w:val="none" w:sz="0" w:space="0" w:color="auto"/>
            <w:bottom w:val="none" w:sz="0" w:space="0" w:color="auto"/>
            <w:right w:val="none" w:sz="0" w:space="0" w:color="auto"/>
          </w:divBdr>
        </w:div>
        <w:div w:id="1356273992">
          <w:marLeft w:val="0"/>
          <w:marRight w:val="0"/>
          <w:marTop w:val="0"/>
          <w:marBottom w:val="0"/>
          <w:divBdr>
            <w:top w:val="none" w:sz="0" w:space="0" w:color="auto"/>
            <w:left w:val="none" w:sz="0" w:space="0" w:color="auto"/>
            <w:bottom w:val="none" w:sz="0" w:space="0" w:color="auto"/>
            <w:right w:val="none" w:sz="0" w:space="0" w:color="auto"/>
          </w:divBdr>
        </w:div>
        <w:div w:id="1613049240">
          <w:marLeft w:val="0"/>
          <w:marRight w:val="0"/>
          <w:marTop w:val="0"/>
          <w:marBottom w:val="0"/>
          <w:divBdr>
            <w:top w:val="none" w:sz="0" w:space="0" w:color="auto"/>
            <w:left w:val="none" w:sz="0" w:space="0" w:color="auto"/>
            <w:bottom w:val="none" w:sz="0" w:space="0" w:color="auto"/>
            <w:right w:val="none" w:sz="0" w:space="0" w:color="auto"/>
          </w:divBdr>
        </w:div>
        <w:div w:id="636837682">
          <w:marLeft w:val="0"/>
          <w:marRight w:val="0"/>
          <w:marTop w:val="0"/>
          <w:marBottom w:val="0"/>
          <w:divBdr>
            <w:top w:val="none" w:sz="0" w:space="0" w:color="auto"/>
            <w:left w:val="none" w:sz="0" w:space="0" w:color="auto"/>
            <w:bottom w:val="none" w:sz="0" w:space="0" w:color="auto"/>
            <w:right w:val="none" w:sz="0" w:space="0" w:color="auto"/>
          </w:divBdr>
        </w:div>
        <w:div w:id="394357927">
          <w:marLeft w:val="0"/>
          <w:marRight w:val="0"/>
          <w:marTop w:val="0"/>
          <w:marBottom w:val="0"/>
          <w:divBdr>
            <w:top w:val="none" w:sz="0" w:space="0" w:color="auto"/>
            <w:left w:val="none" w:sz="0" w:space="0" w:color="auto"/>
            <w:bottom w:val="none" w:sz="0" w:space="0" w:color="auto"/>
            <w:right w:val="none" w:sz="0" w:space="0" w:color="auto"/>
          </w:divBdr>
        </w:div>
        <w:div w:id="1504932586">
          <w:marLeft w:val="0"/>
          <w:marRight w:val="0"/>
          <w:marTop w:val="0"/>
          <w:marBottom w:val="0"/>
          <w:divBdr>
            <w:top w:val="none" w:sz="0" w:space="0" w:color="auto"/>
            <w:left w:val="none" w:sz="0" w:space="0" w:color="auto"/>
            <w:bottom w:val="none" w:sz="0" w:space="0" w:color="auto"/>
            <w:right w:val="none" w:sz="0" w:space="0" w:color="auto"/>
          </w:divBdr>
        </w:div>
        <w:div w:id="698356939">
          <w:marLeft w:val="0"/>
          <w:marRight w:val="0"/>
          <w:marTop w:val="0"/>
          <w:marBottom w:val="0"/>
          <w:divBdr>
            <w:top w:val="none" w:sz="0" w:space="0" w:color="auto"/>
            <w:left w:val="none" w:sz="0" w:space="0" w:color="auto"/>
            <w:bottom w:val="none" w:sz="0" w:space="0" w:color="auto"/>
            <w:right w:val="none" w:sz="0" w:space="0" w:color="auto"/>
          </w:divBdr>
        </w:div>
        <w:div w:id="1274433414">
          <w:marLeft w:val="0"/>
          <w:marRight w:val="0"/>
          <w:marTop w:val="0"/>
          <w:marBottom w:val="0"/>
          <w:divBdr>
            <w:top w:val="none" w:sz="0" w:space="0" w:color="auto"/>
            <w:left w:val="none" w:sz="0" w:space="0" w:color="auto"/>
            <w:bottom w:val="none" w:sz="0" w:space="0" w:color="auto"/>
            <w:right w:val="none" w:sz="0" w:space="0" w:color="auto"/>
          </w:divBdr>
        </w:div>
        <w:div w:id="1531995059">
          <w:marLeft w:val="0"/>
          <w:marRight w:val="0"/>
          <w:marTop w:val="0"/>
          <w:marBottom w:val="0"/>
          <w:divBdr>
            <w:top w:val="none" w:sz="0" w:space="0" w:color="auto"/>
            <w:left w:val="none" w:sz="0" w:space="0" w:color="auto"/>
            <w:bottom w:val="none" w:sz="0" w:space="0" w:color="auto"/>
            <w:right w:val="none" w:sz="0" w:space="0" w:color="auto"/>
          </w:divBdr>
        </w:div>
        <w:div w:id="1648895881">
          <w:marLeft w:val="0"/>
          <w:marRight w:val="0"/>
          <w:marTop w:val="0"/>
          <w:marBottom w:val="0"/>
          <w:divBdr>
            <w:top w:val="none" w:sz="0" w:space="0" w:color="auto"/>
            <w:left w:val="none" w:sz="0" w:space="0" w:color="auto"/>
            <w:bottom w:val="none" w:sz="0" w:space="0" w:color="auto"/>
            <w:right w:val="none" w:sz="0" w:space="0" w:color="auto"/>
          </w:divBdr>
        </w:div>
        <w:div w:id="1135757964">
          <w:marLeft w:val="0"/>
          <w:marRight w:val="0"/>
          <w:marTop w:val="0"/>
          <w:marBottom w:val="0"/>
          <w:divBdr>
            <w:top w:val="none" w:sz="0" w:space="0" w:color="auto"/>
            <w:left w:val="none" w:sz="0" w:space="0" w:color="auto"/>
            <w:bottom w:val="none" w:sz="0" w:space="0" w:color="auto"/>
            <w:right w:val="none" w:sz="0" w:space="0" w:color="auto"/>
          </w:divBdr>
        </w:div>
        <w:div w:id="54551681">
          <w:marLeft w:val="0"/>
          <w:marRight w:val="0"/>
          <w:marTop w:val="0"/>
          <w:marBottom w:val="0"/>
          <w:divBdr>
            <w:top w:val="none" w:sz="0" w:space="0" w:color="auto"/>
            <w:left w:val="none" w:sz="0" w:space="0" w:color="auto"/>
            <w:bottom w:val="none" w:sz="0" w:space="0" w:color="auto"/>
            <w:right w:val="none" w:sz="0" w:space="0" w:color="auto"/>
          </w:divBdr>
        </w:div>
        <w:div w:id="1428690835">
          <w:marLeft w:val="0"/>
          <w:marRight w:val="0"/>
          <w:marTop w:val="0"/>
          <w:marBottom w:val="0"/>
          <w:divBdr>
            <w:top w:val="none" w:sz="0" w:space="0" w:color="auto"/>
            <w:left w:val="none" w:sz="0" w:space="0" w:color="auto"/>
            <w:bottom w:val="none" w:sz="0" w:space="0" w:color="auto"/>
            <w:right w:val="none" w:sz="0" w:space="0" w:color="auto"/>
          </w:divBdr>
        </w:div>
        <w:div w:id="1609199974">
          <w:marLeft w:val="0"/>
          <w:marRight w:val="0"/>
          <w:marTop w:val="0"/>
          <w:marBottom w:val="0"/>
          <w:divBdr>
            <w:top w:val="none" w:sz="0" w:space="0" w:color="auto"/>
            <w:left w:val="none" w:sz="0" w:space="0" w:color="auto"/>
            <w:bottom w:val="none" w:sz="0" w:space="0" w:color="auto"/>
            <w:right w:val="none" w:sz="0" w:space="0" w:color="auto"/>
          </w:divBdr>
        </w:div>
        <w:div w:id="300155787">
          <w:marLeft w:val="0"/>
          <w:marRight w:val="0"/>
          <w:marTop w:val="0"/>
          <w:marBottom w:val="0"/>
          <w:divBdr>
            <w:top w:val="none" w:sz="0" w:space="0" w:color="auto"/>
            <w:left w:val="none" w:sz="0" w:space="0" w:color="auto"/>
            <w:bottom w:val="none" w:sz="0" w:space="0" w:color="auto"/>
            <w:right w:val="none" w:sz="0" w:space="0" w:color="auto"/>
          </w:divBdr>
        </w:div>
        <w:div w:id="1990017686">
          <w:marLeft w:val="0"/>
          <w:marRight w:val="0"/>
          <w:marTop w:val="0"/>
          <w:marBottom w:val="0"/>
          <w:divBdr>
            <w:top w:val="none" w:sz="0" w:space="0" w:color="auto"/>
            <w:left w:val="none" w:sz="0" w:space="0" w:color="auto"/>
            <w:bottom w:val="none" w:sz="0" w:space="0" w:color="auto"/>
            <w:right w:val="none" w:sz="0" w:space="0" w:color="auto"/>
          </w:divBdr>
        </w:div>
        <w:div w:id="312831371">
          <w:marLeft w:val="0"/>
          <w:marRight w:val="0"/>
          <w:marTop w:val="0"/>
          <w:marBottom w:val="0"/>
          <w:divBdr>
            <w:top w:val="none" w:sz="0" w:space="0" w:color="auto"/>
            <w:left w:val="none" w:sz="0" w:space="0" w:color="auto"/>
            <w:bottom w:val="none" w:sz="0" w:space="0" w:color="auto"/>
            <w:right w:val="none" w:sz="0" w:space="0" w:color="auto"/>
          </w:divBdr>
        </w:div>
        <w:div w:id="315837211">
          <w:marLeft w:val="0"/>
          <w:marRight w:val="0"/>
          <w:marTop w:val="0"/>
          <w:marBottom w:val="0"/>
          <w:divBdr>
            <w:top w:val="none" w:sz="0" w:space="0" w:color="auto"/>
            <w:left w:val="none" w:sz="0" w:space="0" w:color="auto"/>
            <w:bottom w:val="none" w:sz="0" w:space="0" w:color="auto"/>
            <w:right w:val="none" w:sz="0" w:space="0" w:color="auto"/>
          </w:divBdr>
        </w:div>
        <w:div w:id="1507093120">
          <w:marLeft w:val="0"/>
          <w:marRight w:val="0"/>
          <w:marTop w:val="0"/>
          <w:marBottom w:val="0"/>
          <w:divBdr>
            <w:top w:val="none" w:sz="0" w:space="0" w:color="auto"/>
            <w:left w:val="none" w:sz="0" w:space="0" w:color="auto"/>
            <w:bottom w:val="none" w:sz="0" w:space="0" w:color="auto"/>
            <w:right w:val="none" w:sz="0" w:space="0" w:color="auto"/>
          </w:divBdr>
        </w:div>
        <w:div w:id="1202783528">
          <w:marLeft w:val="0"/>
          <w:marRight w:val="0"/>
          <w:marTop w:val="0"/>
          <w:marBottom w:val="0"/>
          <w:divBdr>
            <w:top w:val="none" w:sz="0" w:space="0" w:color="auto"/>
            <w:left w:val="none" w:sz="0" w:space="0" w:color="auto"/>
            <w:bottom w:val="none" w:sz="0" w:space="0" w:color="auto"/>
            <w:right w:val="none" w:sz="0" w:space="0" w:color="auto"/>
          </w:divBdr>
        </w:div>
        <w:div w:id="1244493045">
          <w:marLeft w:val="0"/>
          <w:marRight w:val="0"/>
          <w:marTop w:val="0"/>
          <w:marBottom w:val="0"/>
          <w:divBdr>
            <w:top w:val="none" w:sz="0" w:space="0" w:color="auto"/>
            <w:left w:val="none" w:sz="0" w:space="0" w:color="auto"/>
            <w:bottom w:val="none" w:sz="0" w:space="0" w:color="auto"/>
            <w:right w:val="none" w:sz="0" w:space="0" w:color="auto"/>
          </w:divBdr>
        </w:div>
        <w:div w:id="1984040802">
          <w:marLeft w:val="0"/>
          <w:marRight w:val="0"/>
          <w:marTop w:val="0"/>
          <w:marBottom w:val="0"/>
          <w:divBdr>
            <w:top w:val="none" w:sz="0" w:space="0" w:color="auto"/>
            <w:left w:val="none" w:sz="0" w:space="0" w:color="auto"/>
            <w:bottom w:val="none" w:sz="0" w:space="0" w:color="auto"/>
            <w:right w:val="none" w:sz="0" w:space="0" w:color="auto"/>
          </w:divBdr>
        </w:div>
        <w:div w:id="693652399">
          <w:marLeft w:val="0"/>
          <w:marRight w:val="0"/>
          <w:marTop w:val="0"/>
          <w:marBottom w:val="0"/>
          <w:divBdr>
            <w:top w:val="none" w:sz="0" w:space="0" w:color="auto"/>
            <w:left w:val="none" w:sz="0" w:space="0" w:color="auto"/>
            <w:bottom w:val="none" w:sz="0" w:space="0" w:color="auto"/>
            <w:right w:val="none" w:sz="0" w:space="0" w:color="auto"/>
          </w:divBdr>
        </w:div>
        <w:div w:id="533809783">
          <w:marLeft w:val="0"/>
          <w:marRight w:val="0"/>
          <w:marTop w:val="0"/>
          <w:marBottom w:val="0"/>
          <w:divBdr>
            <w:top w:val="none" w:sz="0" w:space="0" w:color="auto"/>
            <w:left w:val="none" w:sz="0" w:space="0" w:color="auto"/>
            <w:bottom w:val="none" w:sz="0" w:space="0" w:color="auto"/>
            <w:right w:val="none" w:sz="0" w:space="0" w:color="auto"/>
          </w:divBdr>
        </w:div>
        <w:div w:id="1277324727">
          <w:marLeft w:val="0"/>
          <w:marRight w:val="0"/>
          <w:marTop w:val="0"/>
          <w:marBottom w:val="0"/>
          <w:divBdr>
            <w:top w:val="none" w:sz="0" w:space="0" w:color="auto"/>
            <w:left w:val="none" w:sz="0" w:space="0" w:color="auto"/>
            <w:bottom w:val="none" w:sz="0" w:space="0" w:color="auto"/>
            <w:right w:val="none" w:sz="0" w:space="0" w:color="auto"/>
          </w:divBdr>
        </w:div>
        <w:div w:id="523710983">
          <w:marLeft w:val="0"/>
          <w:marRight w:val="0"/>
          <w:marTop w:val="0"/>
          <w:marBottom w:val="0"/>
          <w:divBdr>
            <w:top w:val="none" w:sz="0" w:space="0" w:color="auto"/>
            <w:left w:val="none" w:sz="0" w:space="0" w:color="auto"/>
            <w:bottom w:val="none" w:sz="0" w:space="0" w:color="auto"/>
            <w:right w:val="none" w:sz="0" w:space="0" w:color="auto"/>
          </w:divBdr>
        </w:div>
        <w:div w:id="1390760458">
          <w:marLeft w:val="0"/>
          <w:marRight w:val="0"/>
          <w:marTop w:val="0"/>
          <w:marBottom w:val="0"/>
          <w:divBdr>
            <w:top w:val="none" w:sz="0" w:space="0" w:color="auto"/>
            <w:left w:val="none" w:sz="0" w:space="0" w:color="auto"/>
            <w:bottom w:val="none" w:sz="0" w:space="0" w:color="auto"/>
            <w:right w:val="none" w:sz="0" w:space="0" w:color="auto"/>
          </w:divBdr>
        </w:div>
        <w:div w:id="1998534838">
          <w:marLeft w:val="0"/>
          <w:marRight w:val="0"/>
          <w:marTop w:val="0"/>
          <w:marBottom w:val="0"/>
          <w:divBdr>
            <w:top w:val="none" w:sz="0" w:space="0" w:color="auto"/>
            <w:left w:val="none" w:sz="0" w:space="0" w:color="auto"/>
            <w:bottom w:val="none" w:sz="0" w:space="0" w:color="auto"/>
            <w:right w:val="none" w:sz="0" w:space="0" w:color="auto"/>
          </w:divBdr>
        </w:div>
        <w:div w:id="815992183">
          <w:marLeft w:val="0"/>
          <w:marRight w:val="0"/>
          <w:marTop w:val="0"/>
          <w:marBottom w:val="0"/>
          <w:divBdr>
            <w:top w:val="none" w:sz="0" w:space="0" w:color="auto"/>
            <w:left w:val="none" w:sz="0" w:space="0" w:color="auto"/>
            <w:bottom w:val="none" w:sz="0" w:space="0" w:color="auto"/>
            <w:right w:val="none" w:sz="0" w:space="0" w:color="auto"/>
          </w:divBdr>
        </w:div>
        <w:div w:id="359817459">
          <w:marLeft w:val="0"/>
          <w:marRight w:val="0"/>
          <w:marTop w:val="0"/>
          <w:marBottom w:val="0"/>
          <w:divBdr>
            <w:top w:val="none" w:sz="0" w:space="0" w:color="auto"/>
            <w:left w:val="none" w:sz="0" w:space="0" w:color="auto"/>
            <w:bottom w:val="none" w:sz="0" w:space="0" w:color="auto"/>
            <w:right w:val="none" w:sz="0" w:space="0" w:color="auto"/>
          </w:divBdr>
        </w:div>
        <w:div w:id="2034842086">
          <w:marLeft w:val="0"/>
          <w:marRight w:val="0"/>
          <w:marTop w:val="0"/>
          <w:marBottom w:val="0"/>
          <w:divBdr>
            <w:top w:val="none" w:sz="0" w:space="0" w:color="auto"/>
            <w:left w:val="none" w:sz="0" w:space="0" w:color="auto"/>
            <w:bottom w:val="none" w:sz="0" w:space="0" w:color="auto"/>
            <w:right w:val="none" w:sz="0" w:space="0" w:color="auto"/>
          </w:divBdr>
        </w:div>
        <w:div w:id="991252494">
          <w:marLeft w:val="0"/>
          <w:marRight w:val="0"/>
          <w:marTop w:val="0"/>
          <w:marBottom w:val="0"/>
          <w:divBdr>
            <w:top w:val="none" w:sz="0" w:space="0" w:color="auto"/>
            <w:left w:val="none" w:sz="0" w:space="0" w:color="auto"/>
            <w:bottom w:val="none" w:sz="0" w:space="0" w:color="auto"/>
            <w:right w:val="none" w:sz="0" w:space="0" w:color="auto"/>
          </w:divBdr>
        </w:div>
        <w:div w:id="1270046925">
          <w:marLeft w:val="0"/>
          <w:marRight w:val="0"/>
          <w:marTop w:val="0"/>
          <w:marBottom w:val="0"/>
          <w:divBdr>
            <w:top w:val="none" w:sz="0" w:space="0" w:color="auto"/>
            <w:left w:val="none" w:sz="0" w:space="0" w:color="auto"/>
            <w:bottom w:val="none" w:sz="0" w:space="0" w:color="auto"/>
            <w:right w:val="none" w:sz="0" w:space="0" w:color="auto"/>
          </w:divBdr>
        </w:div>
        <w:div w:id="870143525">
          <w:marLeft w:val="0"/>
          <w:marRight w:val="0"/>
          <w:marTop w:val="0"/>
          <w:marBottom w:val="0"/>
          <w:divBdr>
            <w:top w:val="none" w:sz="0" w:space="0" w:color="auto"/>
            <w:left w:val="none" w:sz="0" w:space="0" w:color="auto"/>
            <w:bottom w:val="none" w:sz="0" w:space="0" w:color="auto"/>
            <w:right w:val="none" w:sz="0" w:space="0" w:color="auto"/>
          </w:divBdr>
        </w:div>
        <w:div w:id="1988433204">
          <w:marLeft w:val="0"/>
          <w:marRight w:val="0"/>
          <w:marTop w:val="0"/>
          <w:marBottom w:val="0"/>
          <w:divBdr>
            <w:top w:val="none" w:sz="0" w:space="0" w:color="auto"/>
            <w:left w:val="none" w:sz="0" w:space="0" w:color="auto"/>
            <w:bottom w:val="none" w:sz="0" w:space="0" w:color="auto"/>
            <w:right w:val="none" w:sz="0" w:space="0" w:color="auto"/>
          </w:divBdr>
        </w:div>
        <w:div w:id="8529785">
          <w:marLeft w:val="0"/>
          <w:marRight w:val="0"/>
          <w:marTop w:val="0"/>
          <w:marBottom w:val="0"/>
          <w:divBdr>
            <w:top w:val="none" w:sz="0" w:space="0" w:color="auto"/>
            <w:left w:val="none" w:sz="0" w:space="0" w:color="auto"/>
            <w:bottom w:val="none" w:sz="0" w:space="0" w:color="auto"/>
            <w:right w:val="none" w:sz="0" w:space="0" w:color="auto"/>
          </w:divBdr>
        </w:div>
        <w:div w:id="1779334075">
          <w:marLeft w:val="0"/>
          <w:marRight w:val="0"/>
          <w:marTop w:val="0"/>
          <w:marBottom w:val="0"/>
          <w:divBdr>
            <w:top w:val="none" w:sz="0" w:space="0" w:color="auto"/>
            <w:left w:val="none" w:sz="0" w:space="0" w:color="auto"/>
            <w:bottom w:val="none" w:sz="0" w:space="0" w:color="auto"/>
            <w:right w:val="none" w:sz="0" w:space="0" w:color="auto"/>
          </w:divBdr>
        </w:div>
        <w:div w:id="1570455334">
          <w:marLeft w:val="0"/>
          <w:marRight w:val="0"/>
          <w:marTop w:val="0"/>
          <w:marBottom w:val="0"/>
          <w:divBdr>
            <w:top w:val="none" w:sz="0" w:space="0" w:color="auto"/>
            <w:left w:val="none" w:sz="0" w:space="0" w:color="auto"/>
            <w:bottom w:val="none" w:sz="0" w:space="0" w:color="auto"/>
            <w:right w:val="none" w:sz="0" w:space="0" w:color="auto"/>
          </w:divBdr>
        </w:div>
        <w:div w:id="942879664">
          <w:marLeft w:val="0"/>
          <w:marRight w:val="0"/>
          <w:marTop w:val="0"/>
          <w:marBottom w:val="0"/>
          <w:divBdr>
            <w:top w:val="none" w:sz="0" w:space="0" w:color="auto"/>
            <w:left w:val="none" w:sz="0" w:space="0" w:color="auto"/>
            <w:bottom w:val="none" w:sz="0" w:space="0" w:color="auto"/>
            <w:right w:val="none" w:sz="0" w:space="0" w:color="auto"/>
          </w:divBdr>
        </w:div>
        <w:div w:id="2018144693">
          <w:marLeft w:val="0"/>
          <w:marRight w:val="0"/>
          <w:marTop w:val="0"/>
          <w:marBottom w:val="0"/>
          <w:divBdr>
            <w:top w:val="none" w:sz="0" w:space="0" w:color="auto"/>
            <w:left w:val="none" w:sz="0" w:space="0" w:color="auto"/>
            <w:bottom w:val="none" w:sz="0" w:space="0" w:color="auto"/>
            <w:right w:val="none" w:sz="0" w:space="0" w:color="auto"/>
          </w:divBdr>
        </w:div>
        <w:div w:id="1426533483">
          <w:marLeft w:val="0"/>
          <w:marRight w:val="0"/>
          <w:marTop w:val="0"/>
          <w:marBottom w:val="0"/>
          <w:divBdr>
            <w:top w:val="none" w:sz="0" w:space="0" w:color="auto"/>
            <w:left w:val="none" w:sz="0" w:space="0" w:color="auto"/>
            <w:bottom w:val="none" w:sz="0" w:space="0" w:color="auto"/>
            <w:right w:val="none" w:sz="0" w:space="0" w:color="auto"/>
          </w:divBdr>
        </w:div>
        <w:div w:id="540242599">
          <w:marLeft w:val="0"/>
          <w:marRight w:val="0"/>
          <w:marTop w:val="0"/>
          <w:marBottom w:val="0"/>
          <w:divBdr>
            <w:top w:val="none" w:sz="0" w:space="0" w:color="auto"/>
            <w:left w:val="none" w:sz="0" w:space="0" w:color="auto"/>
            <w:bottom w:val="none" w:sz="0" w:space="0" w:color="auto"/>
            <w:right w:val="none" w:sz="0" w:space="0" w:color="auto"/>
          </w:divBdr>
        </w:div>
        <w:div w:id="733314019">
          <w:marLeft w:val="0"/>
          <w:marRight w:val="0"/>
          <w:marTop w:val="0"/>
          <w:marBottom w:val="0"/>
          <w:divBdr>
            <w:top w:val="none" w:sz="0" w:space="0" w:color="auto"/>
            <w:left w:val="none" w:sz="0" w:space="0" w:color="auto"/>
            <w:bottom w:val="none" w:sz="0" w:space="0" w:color="auto"/>
            <w:right w:val="none" w:sz="0" w:space="0" w:color="auto"/>
          </w:divBdr>
        </w:div>
        <w:div w:id="1496650763">
          <w:marLeft w:val="0"/>
          <w:marRight w:val="0"/>
          <w:marTop w:val="0"/>
          <w:marBottom w:val="0"/>
          <w:divBdr>
            <w:top w:val="none" w:sz="0" w:space="0" w:color="auto"/>
            <w:left w:val="none" w:sz="0" w:space="0" w:color="auto"/>
            <w:bottom w:val="none" w:sz="0" w:space="0" w:color="auto"/>
            <w:right w:val="none" w:sz="0" w:space="0" w:color="auto"/>
          </w:divBdr>
        </w:div>
        <w:div w:id="1850176881">
          <w:marLeft w:val="0"/>
          <w:marRight w:val="0"/>
          <w:marTop w:val="0"/>
          <w:marBottom w:val="0"/>
          <w:divBdr>
            <w:top w:val="none" w:sz="0" w:space="0" w:color="auto"/>
            <w:left w:val="none" w:sz="0" w:space="0" w:color="auto"/>
            <w:bottom w:val="none" w:sz="0" w:space="0" w:color="auto"/>
            <w:right w:val="none" w:sz="0" w:space="0" w:color="auto"/>
          </w:divBdr>
        </w:div>
        <w:div w:id="288123841">
          <w:marLeft w:val="0"/>
          <w:marRight w:val="0"/>
          <w:marTop w:val="0"/>
          <w:marBottom w:val="0"/>
          <w:divBdr>
            <w:top w:val="none" w:sz="0" w:space="0" w:color="auto"/>
            <w:left w:val="none" w:sz="0" w:space="0" w:color="auto"/>
            <w:bottom w:val="none" w:sz="0" w:space="0" w:color="auto"/>
            <w:right w:val="none" w:sz="0" w:space="0" w:color="auto"/>
          </w:divBdr>
        </w:div>
        <w:div w:id="1803572264">
          <w:marLeft w:val="0"/>
          <w:marRight w:val="0"/>
          <w:marTop w:val="0"/>
          <w:marBottom w:val="0"/>
          <w:divBdr>
            <w:top w:val="none" w:sz="0" w:space="0" w:color="auto"/>
            <w:left w:val="none" w:sz="0" w:space="0" w:color="auto"/>
            <w:bottom w:val="none" w:sz="0" w:space="0" w:color="auto"/>
            <w:right w:val="none" w:sz="0" w:space="0" w:color="auto"/>
          </w:divBdr>
        </w:div>
        <w:div w:id="699866545">
          <w:marLeft w:val="0"/>
          <w:marRight w:val="0"/>
          <w:marTop w:val="0"/>
          <w:marBottom w:val="0"/>
          <w:divBdr>
            <w:top w:val="none" w:sz="0" w:space="0" w:color="auto"/>
            <w:left w:val="none" w:sz="0" w:space="0" w:color="auto"/>
            <w:bottom w:val="none" w:sz="0" w:space="0" w:color="auto"/>
            <w:right w:val="none" w:sz="0" w:space="0" w:color="auto"/>
          </w:divBdr>
        </w:div>
        <w:div w:id="362826265">
          <w:marLeft w:val="0"/>
          <w:marRight w:val="0"/>
          <w:marTop w:val="0"/>
          <w:marBottom w:val="0"/>
          <w:divBdr>
            <w:top w:val="none" w:sz="0" w:space="0" w:color="auto"/>
            <w:left w:val="none" w:sz="0" w:space="0" w:color="auto"/>
            <w:bottom w:val="none" w:sz="0" w:space="0" w:color="auto"/>
            <w:right w:val="none" w:sz="0" w:space="0" w:color="auto"/>
          </w:divBdr>
        </w:div>
        <w:div w:id="749933698">
          <w:marLeft w:val="0"/>
          <w:marRight w:val="0"/>
          <w:marTop w:val="0"/>
          <w:marBottom w:val="0"/>
          <w:divBdr>
            <w:top w:val="none" w:sz="0" w:space="0" w:color="auto"/>
            <w:left w:val="none" w:sz="0" w:space="0" w:color="auto"/>
            <w:bottom w:val="none" w:sz="0" w:space="0" w:color="auto"/>
            <w:right w:val="none" w:sz="0" w:space="0" w:color="auto"/>
          </w:divBdr>
        </w:div>
        <w:div w:id="1264529253">
          <w:marLeft w:val="0"/>
          <w:marRight w:val="0"/>
          <w:marTop w:val="0"/>
          <w:marBottom w:val="0"/>
          <w:divBdr>
            <w:top w:val="none" w:sz="0" w:space="0" w:color="auto"/>
            <w:left w:val="none" w:sz="0" w:space="0" w:color="auto"/>
            <w:bottom w:val="none" w:sz="0" w:space="0" w:color="auto"/>
            <w:right w:val="none" w:sz="0" w:space="0" w:color="auto"/>
          </w:divBdr>
        </w:div>
        <w:div w:id="1447116898">
          <w:marLeft w:val="0"/>
          <w:marRight w:val="0"/>
          <w:marTop w:val="0"/>
          <w:marBottom w:val="0"/>
          <w:divBdr>
            <w:top w:val="none" w:sz="0" w:space="0" w:color="auto"/>
            <w:left w:val="none" w:sz="0" w:space="0" w:color="auto"/>
            <w:bottom w:val="none" w:sz="0" w:space="0" w:color="auto"/>
            <w:right w:val="none" w:sz="0" w:space="0" w:color="auto"/>
          </w:divBdr>
        </w:div>
        <w:div w:id="408119624">
          <w:marLeft w:val="0"/>
          <w:marRight w:val="0"/>
          <w:marTop w:val="0"/>
          <w:marBottom w:val="0"/>
          <w:divBdr>
            <w:top w:val="none" w:sz="0" w:space="0" w:color="auto"/>
            <w:left w:val="none" w:sz="0" w:space="0" w:color="auto"/>
            <w:bottom w:val="none" w:sz="0" w:space="0" w:color="auto"/>
            <w:right w:val="none" w:sz="0" w:space="0" w:color="auto"/>
          </w:divBdr>
        </w:div>
        <w:div w:id="599875132">
          <w:marLeft w:val="0"/>
          <w:marRight w:val="0"/>
          <w:marTop w:val="0"/>
          <w:marBottom w:val="0"/>
          <w:divBdr>
            <w:top w:val="none" w:sz="0" w:space="0" w:color="auto"/>
            <w:left w:val="none" w:sz="0" w:space="0" w:color="auto"/>
            <w:bottom w:val="none" w:sz="0" w:space="0" w:color="auto"/>
            <w:right w:val="none" w:sz="0" w:space="0" w:color="auto"/>
          </w:divBdr>
        </w:div>
        <w:div w:id="1479494464">
          <w:marLeft w:val="0"/>
          <w:marRight w:val="0"/>
          <w:marTop w:val="0"/>
          <w:marBottom w:val="0"/>
          <w:divBdr>
            <w:top w:val="none" w:sz="0" w:space="0" w:color="auto"/>
            <w:left w:val="none" w:sz="0" w:space="0" w:color="auto"/>
            <w:bottom w:val="none" w:sz="0" w:space="0" w:color="auto"/>
            <w:right w:val="none" w:sz="0" w:space="0" w:color="auto"/>
          </w:divBdr>
        </w:div>
        <w:div w:id="1918174415">
          <w:marLeft w:val="0"/>
          <w:marRight w:val="0"/>
          <w:marTop w:val="0"/>
          <w:marBottom w:val="0"/>
          <w:divBdr>
            <w:top w:val="none" w:sz="0" w:space="0" w:color="auto"/>
            <w:left w:val="none" w:sz="0" w:space="0" w:color="auto"/>
            <w:bottom w:val="none" w:sz="0" w:space="0" w:color="auto"/>
            <w:right w:val="none" w:sz="0" w:space="0" w:color="auto"/>
          </w:divBdr>
        </w:div>
        <w:div w:id="301887065">
          <w:marLeft w:val="0"/>
          <w:marRight w:val="0"/>
          <w:marTop w:val="0"/>
          <w:marBottom w:val="0"/>
          <w:divBdr>
            <w:top w:val="none" w:sz="0" w:space="0" w:color="auto"/>
            <w:left w:val="none" w:sz="0" w:space="0" w:color="auto"/>
            <w:bottom w:val="none" w:sz="0" w:space="0" w:color="auto"/>
            <w:right w:val="none" w:sz="0" w:space="0" w:color="auto"/>
          </w:divBdr>
        </w:div>
        <w:div w:id="67921512">
          <w:marLeft w:val="0"/>
          <w:marRight w:val="0"/>
          <w:marTop w:val="0"/>
          <w:marBottom w:val="0"/>
          <w:divBdr>
            <w:top w:val="none" w:sz="0" w:space="0" w:color="auto"/>
            <w:left w:val="none" w:sz="0" w:space="0" w:color="auto"/>
            <w:bottom w:val="none" w:sz="0" w:space="0" w:color="auto"/>
            <w:right w:val="none" w:sz="0" w:space="0" w:color="auto"/>
          </w:divBdr>
        </w:div>
        <w:div w:id="1063673969">
          <w:marLeft w:val="0"/>
          <w:marRight w:val="0"/>
          <w:marTop w:val="0"/>
          <w:marBottom w:val="0"/>
          <w:divBdr>
            <w:top w:val="none" w:sz="0" w:space="0" w:color="auto"/>
            <w:left w:val="none" w:sz="0" w:space="0" w:color="auto"/>
            <w:bottom w:val="none" w:sz="0" w:space="0" w:color="auto"/>
            <w:right w:val="none" w:sz="0" w:space="0" w:color="auto"/>
          </w:divBdr>
        </w:div>
        <w:div w:id="4983425">
          <w:marLeft w:val="0"/>
          <w:marRight w:val="0"/>
          <w:marTop w:val="0"/>
          <w:marBottom w:val="0"/>
          <w:divBdr>
            <w:top w:val="none" w:sz="0" w:space="0" w:color="auto"/>
            <w:left w:val="none" w:sz="0" w:space="0" w:color="auto"/>
            <w:bottom w:val="none" w:sz="0" w:space="0" w:color="auto"/>
            <w:right w:val="none" w:sz="0" w:space="0" w:color="auto"/>
          </w:divBdr>
        </w:div>
        <w:div w:id="1868594922">
          <w:marLeft w:val="0"/>
          <w:marRight w:val="0"/>
          <w:marTop w:val="0"/>
          <w:marBottom w:val="0"/>
          <w:divBdr>
            <w:top w:val="none" w:sz="0" w:space="0" w:color="auto"/>
            <w:left w:val="none" w:sz="0" w:space="0" w:color="auto"/>
            <w:bottom w:val="none" w:sz="0" w:space="0" w:color="auto"/>
            <w:right w:val="none" w:sz="0" w:space="0" w:color="auto"/>
          </w:divBdr>
        </w:div>
        <w:div w:id="233011573">
          <w:marLeft w:val="0"/>
          <w:marRight w:val="0"/>
          <w:marTop w:val="0"/>
          <w:marBottom w:val="0"/>
          <w:divBdr>
            <w:top w:val="none" w:sz="0" w:space="0" w:color="auto"/>
            <w:left w:val="none" w:sz="0" w:space="0" w:color="auto"/>
            <w:bottom w:val="none" w:sz="0" w:space="0" w:color="auto"/>
            <w:right w:val="none" w:sz="0" w:space="0" w:color="auto"/>
          </w:divBdr>
        </w:div>
        <w:div w:id="502355654">
          <w:marLeft w:val="0"/>
          <w:marRight w:val="0"/>
          <w:marTop w:val="0"/>
          <w:marBottom w:val="0"/>
          <w:divBdr>
            <w:top w:val="none" w:sz="0" w:space="0" w:color="auto"/>
            <w:left w:val="none" w:sz="0" w:space="0" w:color="auto"/>
            <w:bottom w:val="none" w:sz="0" w:space="0" w:color="auto"/>
            <w:right w:val="none" w:sz="0" w:space="0" w:color="auto"/>
          </w:divBdr>
        </w:div>
        <w:div w:id="494342384">
          <w:marLeft w:val="0"/>
          <w:marRight w:val="0"/>
          <w:marTop w:val="0"/>
          <w:marBottom w:val="0"/>
          <w:divBdr>
            <w:top w:val="none" w:sz="0" w:space="0" w:color="auto"/>
            <w:left w:val="none" w:sz="0" w:space="0" w:color="auto"/>
            <w:bottom w:val="none" w:sz="0" w:space="0" w:color="auto"/>
            <w:right w:val="none" w:sz="0" w:space="0" w:color="auto"/>
          </w:divBdr>
        </w:div>
        <w:div w:id="1413163740">
          <w:marLeft w:val="0"/>
          <w:marRight w:val="0"/>
          <w:marTop w:val="0"/>
          <w:marBottom w:val="0"/>
          <w:divBdr>
            <w:top w:val="none" w:sz="0" w:space="0" w:color="auto"/>
            <w:left w:val="none" w:sz="0" w:space="0" w:color="auto"/>
            <w:bottom w:val="none" w:sz="0" w:space="0" w:color="auto"/>
            <w:right w:val="none" w:sz="0" w:space="0" w:color="auto"/>
          </w:divBdr>
        </w:div>
        <w:div w:id="1458179028">
          <w:marLeft w:val="0"/>
          <w:marRight w:val="0"/>
          <w:marTop w:val="0"/>
          <w:marBottom w:val="0"/>
          <w:divBdr>
            <w:top w:val="none" w:sz="0" w:space="0" w:color="auto"/>
            <w:left w:val="none" w:sz="0" w:space="0" w:color="auto"/>
            <w:bottom w:val="none" w:sz="0" w:space="0" w:color="auto"/>
            <w:right w:val="none" w:sz="0" w:space="0" w:color="auto"/>
          </w:divBdr>
        </w:div>
        <w:div w:id="1208101250">
          <w:marLeft w:val="0"/>
          <w:marRight w:val="0"/>
          <w:marTop w:val="0"/>
          <w:marBottom w:val="0"/>
          <w:divBdr>
            <w:top w:val="none" w:sz="0" w:space="0" w:color="auto"/>
            <w:left w:val="none" w:sz="0" w:space="0" w:color="auto"/>
            <w:bottom w:val="none" w:sz="0" w:space="0" w:color="auto"/>
            <w:right w:val="none" w:sz="0" w:space="0" w:color="auto"/>
          </w:divBdr>
        </w:div>
        <w:div w:id="1991327770">
          <w:marLeft w:val="0"/>
          <w:marRight w:val="0"/>
          <w:marTop w:val="0"/>
          <w:marBottom w:val="0"/>
          <w:divBdr>
            <w:top w:val="none" w:sz="0" w:space="0" w:color="auto"/>
            <w:left w:val="none" w:sz="0" w:space="0" w:color="auto"/>
            <w:bottom w:val="none" w:sz="0" w:space="0" w:color="auto"/>
            <w:right w:val="none" w:sz="0" w:space="0" w:color="auto"/>
          </w:divBdr>
        </w:div>
        <w:div w:id="852454407">
          <w:marLeft w:val="0"/>
          <w:marRight w:val="0"/>
          <w:marTop w:val="0"/>
          <w:marBottom w:val="0"/>
          <w:divBdr>
            <w:top w:val="none" w:sz="0" w:space="0" w:color="auto"/>
            <w:left w:val="none" w:sz="0" w:space="0" w:color="auto"/>
            <w:bottom w:val="none" w:sz="0" w:space="0" w:color="auto"/>
            <w:right w:val="none" w:sz="0" w:space="0" w:color="auto"/>
          </w:divBdr>
        </w:div>
        <w:div w:id="1819376670">
          <w:marLeft w:val="0"/>
          <w:marRight w:val="0"/>
          <w:marTop w:val="0"/>
          <w:marBottom w:val="0"/>
          <w:divBdr>
            <w:top w:val="none" w:sz="0" w:space="0" w:color="auto"/>
            <w:left w:val="none" w:sz="0" w:space="0" w:color="auto"/>
            <w:bottom w:val="none" w:sz="0" w:space="0" w:color="auto"/>
            <w:right w:val="none" w:sz="0" w:space="0" w:color="auto"/>
          </w:divBdr>
        </w:div>
        <w:div w:id="1153789455">
          <w:marLeft w:val="0"/>
          <w:marRight w:val="0"/>
          <w:marTop w:val="0"/>
          <w:marBottom w:val="0"/>
          <w:divBdr>
            <w:top w:val="none" w:sz="0" w:space="0" w:color="auto"/>
            <w:left w:val="none" w:sz="0" w:space="0" w:color="auto"/>
            <w:bottom w:val="none" w:sz="0" w:space="0" w:color="auto"/>
            <w:right w:val="none" w:sz="0" w:space="0" w:color="auto"/>
          </w:divBdr>
        </w:div>
        <w:div w:id="1585721915">
          <w:marLeft w:val="0"/>
          <w:marRight w:val="0"/>
          <w:marTop w:val="0"/>
          <w:marBottom w:val="0"/>
          <w:divBdr>
            <w:top w:val="none" w:sz="0" w:space="0" w:color="auto"/>
            <w:left w:val="none" w:sz="0" w:space="0" w:color="auto"/>
            <w:bottom w:val="none" w:sz="0" w:space="0" w:color="auto"/>
            <w:right w:val="none" w:sz="0" w:space="0" w:color="auto"/>
          </w:divBdr>
        </w:div>
        <w:div w:id="485897517">
          <w:marLeft w:val="0"/>
          <w:marRight w:val="0"/>
          <w:marTop w:val="0"/>
          <w:marBottom w:val="0"/>
          <w:divBdr>
            <w:top w:val="none" w:sz="0" w:space="0" w:color="auto"/>
            <w:left w:val="none" w:sz="0" w:space="0" w:color="auto"/>
            <w:bottom w:val="none" w:sz="0" w:space="0" w:color="auto"/>
            <w:right w:val="none" w:sz="0" w:space="0" w:color="auto"/>
          </w:divBdr>
        </w:div>
        <w:div w:id="386538449">
          <w:marLeft w:val="0"/>
          <w:marRight w:val="0"/>
          <w:marTop w:val="0"/>
          <w:marBottom w:val="0"/>
          <w:divBdr>
            <w:top w:val="none" w:sz="0" w:space="0" w:color="auto"/>
            <w:left w:val="none" w:sz="0" w:space="0" w:color="auto"/>
            <w:bottom w:val="none" w:sz="0" w:space="0" w:color="auto"/>
            <w:right w:val="none" w:sz="0" w:space="0" w:color="auto"/>
          </w:divBdr>
        </w:div>
        <w:div w:id="766998296">
          <w:marLeft w:val="0"/>
          <w:marRight w:val="0"/>
          <w:marTop w:val="0"/>
          <w:marBottom w:val="0"/>
          <w:divBdr>
            <w:top w:val="none" w:sz="0" w:space="0" w:color="auto"/>
            <w:left w:val="none" w:sz="0" w:space="0" w:color="auto"/>
            <w:bottom w:val="none" w:sz="0" w:space="0" w:color="auto"/>
            <w:right w:val="none" w:sz="0" w:space="0" w:color="auto"/>
          </w:divBdr>
        </w:div>
        <w:div w:id="2071734677">
          <w:marLeft w:val="0"/>
          <w:marRight w:val="0"/>
          <w:marTop w:val="0"/>
          <w:marBottom w:val="0"/>
          <w:divBdr>
            <w:top w:val="none" w:sz="0" w:space="0" w:color="auto"/>
            <w:left w:val="none" w:sz="0" w:space="0" w:color="auto"/>
            <w:bottom w:val="none" w:sz="0" w:space="0" w:color="auto"/>
            <w:right w:val="none" w:sz="0" w:space="0" w:color="auto"/>
          </w:divBdr>
        </w:div>
        <w:div w:id="1426419098">
          <w:marLeft w:val="0"/>
          <w:marRight w:val="0"/>
          <w:marTop w:val="0"/>
          <w:marBottom w:val="0"/>
          <w:divBdr>
            <w:top w:val="none" w:sz="0" w:space="0" w:color="auto"/>
            <w:left w:val="none" w:sz="0" w:space="0" w:color="auto"/>
            <w:bottom w:val="none" w:sz="0" w:space="0" w:color="auto"/>
            <w:right w:val="none" w:sz="0" w:space="0" w:color="auto"/>
          </w:divBdr>
        </w:div>
        <w:div w:id="1713842154">
          <w:marLeft w:val="0"/>
          <w:marRight w:val="0"/>
          <w:marTop w:val="0"/>
          <w:marBottom w:val="0"/>
          <w:divBdr>
            <w:top w:val="none" w:sz="0" w:space="0" w:color="auto"/>
            <w:left w:val="none" w:sz="0" w:space="0" w:color="auto"/>
            <w:bottom w:val="none" w:sz="0" w:space="0" w:color="auto"/>
            <w:right w:val="none" w:sz="0" w:space="0" w:color="auto"/>
          </w:divBdr>
        </w:div>
        <w:div w:id="1099175906">
          <w:marLeft w:val="0"/>
          <w:marRight w:val="0"/>
          <w:marTop w:val="0"/>
          <w:marBottom w:val="0"/>
          <w:divBdr>
            <w:top w:val="none" w:sz="0" w:space="0" w:color="auto"/>
            <w:left w:val="none" w:sz="0" w:space="0" w:color="auto"/>
            <w:bottom w:val="none" w:sz="0" w:space="0" w:color="auto"/>
            <w:right w:val="none" w:sz="0" w:space="0" w:color="auto"/>
          </w:divBdr>
        </w:div>
        <w:div w:id="1268737756">
          <w:marLeft w:val="0"/>
          <w:marRight w:val="0"/>
          <w:marTop w:val="0"/>
          <w:marBottom w:val="0"/>
          <w:divBdr>
            <w:top w:val="none" w:sz="0" w:space="0" w:color="auto"/>
            <w:left w:val="none" w:sz="0" w:space="0" w:color="auto"/>
            <w:bottom w:val="none" w:sz="0" w:space="0" w:color="auto"/>
            <w:right w:val="none" w:sz="0" w:space="0" w:color="auto"/>
          </w:divBdr>
        </w:div>
        <w:div w:id="1032612532">
          <w:marLeft w:val="0"/>
          <w:marRight w:val="0"/>
          <w:marTop w:val="0"/>
          <w:marBottom w:val="0"/>
          <w:divBdr>
            <w:top w:val="none" w:sz="0" w:space="0" w:color="auto"/>
            <w:left w:val="none" w:sz="0" w:space="0" w:color="auto"/>
            <w:bottom w:val="none" w:sz="0" w:space="0" w:color="auto"/>
            <w:right w:val="none" w:sz="0" w:space="0" w:color="auto"/>
          </w:divBdr>
        </w:div>
        <w:div w:id="287590570">
          <w:marLeft w:val="0"/>
          <w:marRight w:val="0"/>
          <w:marTop w:val="0"/>
          <w:marBottom w:val="0"/>
          <w:divBdr>
            <w:top w:val="none" w:sz="0" w:space="0" w:color="auto"/>
            <w:left w:val="none" w:sz="0" w:space="0" w:color="auto"/>
            <w:bottom w:val="none" w:sz="0" w:space="0" w:color="auto"/>
            <w:right w:val="none" w:sz="0" w:space="0" w:color="auto"/>
          </w:divBdr>
        </w:div>
        <w:div w:id="1132527934">
          <w:marLeft w:val="0"/>
          <w:marRight w:val="0"/>
          <w:marTop w:val="0"/>
          <w:marBottom w:val="0"/>
          <w:divBdr>
            <w:top w:val="none" w:sz="0" w:space="0" w:color="auto"/>
            <w:left w:val="none" w:sz="0" w:space="0" w:color="auto"/>
            <w:bottom w:val="none" w:sz="0" w:space="0" w:color="auto"/>
            <w:right w:val="none" w:sz="0" w:space="0" w:color="auto"/>
          </w:divBdr>
        </w:div>
        <w:div w:id="1121873490">
          <w:marLeft w:val="0"/>
          <w:marRight w:val="0"/>
          <w:marTop w:val="0"/>
          <w:marBottom w:val="0"/>
          <w:divBdr>
            <w:top w:val="none" w:sz="0" w:space="0" w:color="auto"/>
            <w:left w:val="none" w:sz="0" w:space="0" w:color="auto"/>
            <w:bottom w:val="none" w:sz="0" w:space="0" w:color="auto"/>
            <w:right w:val="none" w:sz="0" w:space="0" w:color="auto"/>
          </w:divBdr>
        </w:div>
        <w:div w:id="1755937234">
          <w:marLeft w:val="0"/>
          <w:marRight w:val="0"/>
          <w:marTop w:val="0"/>
          <w:marBottom w:val="0"/>
          <w:divBdr>
            <w:top w:val="none" w:sz="0" w:space="0" w:color="auto"/>
            <w:left w:val="none" w:sz="0" w:space="0" w:color="auto"/>
            <w:bottom w:val="none" w:sz="0" w:space="0" w:color="auto"/>
            <w:right w:val="none" w:sz="0" w:space="0" w:color="auto"/>
          </w:divBdr>
        </w:div>
        <w:div w:id="629284264">
          <w:marLeft w:val="0"/>
          <w:marRight w:val="0"/>
          <w:marTop w:val="0"/>
          <w:marBottom w:val="0"/>
          <w:divBdr>
            <w:top w:val="none" w:sz="0" w:space="0" w:color="auto"/>
            <w:left w:val="none" w:sz="0" w:space="0" w:color="auto"/>
            <w:bottom w:val="none" w:sz="0" w:space="0" w:color="auto"/>
            <w:right w:val="none" w:sz="0" w:space="0" w:color="auto"/>
          </w:divBdr>
        </w:div>
        <w:div w:id="1021785751">
          <w:marLeft w:val="0"/>
          <w:marRight w:val="0"/>
          <w:marTop w:val="0"/>
          <w:marBottom w:val="0"/>
          <w:divBdr>
            <w:top w:val="none" w:sz="0" w:space="0" w:color="auto"/>
            <w:left w:val="none" w:sz="0" w:space="0" w:color="auto"/>
            <w:bottom w:val="none" w:sz="0" w:space="0" w:color="auto"/>
            <w:right w:val="none" w:sz="0" w:space="0" w:color="auto"/>
          </w:divBdr>
        </w:div>
        <w:div w:id="1184782704">
          <w:marLeft w:val="0"/>
          <w:marRight w:val="0"/>
          <w:marTop w:val="0"/>
          <w:marBottom w:val="0"/>
          <w:divBdr>
            <w:top w:val="none" w:sz="0" w:space="0" w:color="auto"/>
            <w:left w:val="none" w:sz="0" w:space="0" w:color="auto"/>
            <w:bottom w:val="none" w:sz="0" w:space="0" w:color="auto"/>
            <w:right w:val="none" w:sz="0" w:space="0" w:color="auto"/>
          </w:divBdr>
        </w:div>
        <w:div w:id="1195533729">
          <w:marLeft w:val="0"/>
          <w:marRight w:val="0"/>
          <w:marTop w:val="0"/>
          <w:marBottom w:val="0"/>
          <w:divBdr>
            <w:top w:val="none" w:sz="0" w:space="0" w:color="auto"/>
            <w:left w:val="none" w:sz="0" w:space="0" w:color="auto"/>
            <w:bottom w:val="none" w:sz="0" w:space="0" w:color="auto"/>
            <w:right w:val="none" w:sz="0" w:space="0" w:color="auto"/>
          </w:divBdr>
        </w:div>
        <w:div w:id="1802571926">
          <w:marLeft w:val="0"/>
          <w:marRight w:val="0"/>
          <w:marTop w:val="0"/>
          <w:marBottom w:val="0"/>
          <w:divBdr>
            <w:top w:val="none" w:sz="0" w:space="0" w:color="auto"/>
            <w:left w:val="none" w:sz="0" w:space="0" w:color="auto"/>
            <w:bottom w:val="none" w:sz="0" w:space="0" w:color="auto"/>
            <w:right w:val="none" w:sz="0" w:space="0" w:color="auto"/>
          </w:divBdr>
        </w:div>
        <w:div w:id="1520922675">
          <w:marLeft w:val="0"/>
          <w:marRight w:val="0"/>
          <w:marTop w:val="0"/>
          <w:marBottom w:val="0"/>
          <w:divBdr>
            <w:top w:val="none" w:sz="0" w:space="0" w:color="auto"/>
            <w:left w:val="none" w:sz="0" w:space="0" w:color="auto"/>
            <w:bottom w:val="none" w:sz="0" w:space="0" w:color="auto"/>
            <w:right w:val="none" w:sz="0" w:space="0" w:color="auto"/>
          </w:divBdr>
        </w:div>
        <w:div w:id="1811709328">
          <w:marLeft w:val="0"/>
          <w:marRight w:val="0"/>
          <w:marTop w:val="0"/>
          <w:marBottom w:val="0"/>
          <w:divBdr>
            <w:top w:val="none" w:sz="0" w:space="0" w:color="auto"/>
            <w:left w:val="none" w:sz="0" w:space="0" w:color="auto"/>
            <w:bottom w:val="none" w:sz="0" w:space="0" w:color="auto"/>
            <w:right w:val="none" w:sz="0" w:space="0" w:color="auto"/>
          </w:divBdr>
        </w:div>
        <w:div w:id="988554021">
          <w:marLeft w:val="0"/>
          <w:marRight w:val="0"/>
          <w:marTop w:val="0"/>
          <w:marBottom w:val="0"/>
          <w:divBdr>
            <w:top w:val="none" w:sz="0" w:space="0" w:color="auto"/>
            <w:left w:val="none" w:sz="0" w:space="0" w:color="auto"/>
            <w:bottom w:val="none" w:sz="0" w:space="0" w:color="auto"/>
            <w:right w:val="none" w:sz="0" w:space="0" w:color="auto"/>
          </w:divBdr>
        </w:div>
        <w:div w:id="1495532838">
          <w:marLeft w:val="0"/>
          <w:marRight w:val="0"/>
          <w:marTop w:val="0"/>
          <w:marBottom w:val="0"/>
          <w:divBdr>
            <w:top w:val="none" w:sz="0" w:space="0" w:color="auto"/>
            <w:left w:val="none" w:sz="0" w:space="0" w:color="auto"/>
            <w:bottom w:val="none" w:sz="0" w:space="0" w:color="auto"/>
            <w:right w:val="none" w:sz="0" w:space="0" w:color="auto"/>
          </w:divBdr>
        </w:div>
        <w:div w:id="234626556">
          <w:marLeft w:val="0"/>
          <w:marRight w:val="0"/>
          <w:marTop w:val="0"/>
          <w:marBottom w:val="0"/>
          <w:divBdr>
            <w:top w:val="none" w:sz="0" w:space="0" w:color="auto"/>
            <w:left w:val="none" w:sz="0" w:space="0" w:color="auto"/>
            <w:bottom w:val="none" w:sz="0" w:space="0" w:color="auto"/>
            <w:right w:val="none" w:sz="0" w:space="0" w:color="auto"/>
          </w:divBdr>
        </w:div>
        <w:div w:id="1847092716">
          <w:marLeft w:val="0"/>
          <w:marRight w:val="0"/>
          <w:marTop w:val="0"/>
          <w:marBottom w:val="0"/>
          <w:divBdr>
            <w:top w:val="none" w:sz="0" w:space="0" w:color="auto"/>
            <w:left w:val="none" w:sz="0" w:space="0" w:color="auto"/>
            <w:bottom w:val="none" w:sz="0" w:space="0" w:color="auto"/>
            <w:right w:val="none" w:sz="0" w:space="0" w:color="auto"/>
          </w:divBdr>
        </w:div>
        <w:div w:id="991449612">
          <w:marLeft w:val="0"/>
          <w:marRight w:val="0"/>
          <w:marTop w:val="0"/>
          <w:marBottom w:val="0"/>
          <w:divBdr>
            <w:top w:val="none" w:sz="0" w:space="0" w:color="auto"/>
            <w:left w:val="none" w:sz="0" w:space="0" w:color="auto"/>
            <w:bottom w:val="none" w:sz="0" w:space="0" w:color="auto"/>
            <w:right w:val="none" w:sz="0" w:space="0" w:color="auto"/>
          </w:divBdr>
        </w:div>
        <w:div w:id="893660440">
          <w:marLeft w:val="0"/>
          <w:marRight w:val="0"/>
          <w:marTop w:val="0"/>
          <w:marBottom w:val="0"/>
          <w:divBdr>
            <w:top w:val="none" w:sz="0" w:space="0" w:color="auto"/>
            <w:left w:val="none" w:sz="0" w:space="0" w:color="auto"/>
            <w:bottom w:val="none" w:sz="0" w:space="0" w:color="auto"/>
            <w:right w:val="none" w:sz="0" w:space="0" w:color="auto"/>
          </w:divBdr>
        </w:div>
        <w:div w:id="118032427">
          <w:marLeft w:val="0"/>
          <w:marRight w:val="0"/>
          <w:marTop w:val="0"/>
          <w:marBottom w:val="0"/>
          <w:divBdr>
            <w:top w:val="none" w:sz="0" w:space="0" w:color="auto"/>
            <w:left w:val="none" w:sz="0" w:space="0" w:color="auto"/>
            <w:bottom w:val="none" w:sz="0" w:space="0" w:color="auto"/>
            <w:right w:val="none" w:sz="0" w:space="0" w:color="auto"/>
          </w:divBdr>
        </w:div>
        <w:div w:id="1941840887">
          <w:marLeft w:val="0"/>
          <w:marRight w:val="0"/>
          <w:marTop w:val="0"/>
          <w:marBottom w:val="0"/>
          <w:divBdr>
            <w:top w:val="none" w:sz="0" w:space="0" w:color="auto"/>
            <w:left w:val="none" w:sz="0" w:space="0" w:color="auto"/>
            <w:bottom w:val="none" w:sz="0" w:space="0" w:color="auto"/>
            <w:right w:val="none" w:sz="0" w:space="0" w:color="auto"/>
          </w:divBdr>
        </w:div>
        <w:div w:id="1355691413">
          <w:marLeft w:val="0"/>
          <w:marRight w:val="0"/>
          <w:marTop w:val="0"/>
          <w:marBottom w:val="0"/>
          <w:divBdr>
            <w:top w:val="none" w:sz="0" w:space="0" w:color="auto"/>
            <w:left w:val="none" w:sz="0" w:space="0" w:color="auto"/>
            <w:bottom w:val="none" w:sz="0" w:space="0" w:color="auto"/>
            <w:right w:val="none" w:sz="0" w:space="0" w:color="auto"/>
          </w:divBdr>
        </w:div>
        <w:div w:id="850142251">
          <w:marLeft w:val="0"/>
          <w:marRight w:val="0"/>
          <w:marTop w:val="0"/>
          <w:marBottom w:val="0"/>
          <w:divBdr>
            <w:top w:val="none" w:sz="0" w:space="0" w:color="auto"/>
            <w:left w:val="none" w:sz="0" w:space="0" w:color="auto"/>
            <w:bottom w:val="none" w:sz="0" w:space="0" w:color="auto"/>
            <w:right w:val="none" w:sz="0" w:space="0" w:color="auto"/>
          </w:divBdr>
        </w:div>
        <w:div w:id="271137358">
          <w:marLeft w:val="0"/>
          <w:marRight w:val="0"/>
          <w:marTop w:val="0"/>
          <w:marBottom w:val="0"/>
          <w:divBdr>
            <w:top w:val="none" w:sz="0" w:space="0" w:color="auto"/>
            <w:left w:val="none" w:sz="0" w:space="0" w:color="auto"/>
            <w:bottom w:val="none" w:sz="0" w:space="0" w:color="auto"/>
            <w:right w:val="none" w:sz="0" w:space="0" w:color="auto"/>
          </w:divBdr>
        </w:div>
        <w:div w:id="1238057600">
          <w:marLeft w:val="0"/>
          <w:marRight w:val="0"/>
          <w:marTop w:val="0"/>
          <w:marBottom w:val="0"/>
          <w:divBdr>
            <w:top w:val="none" w:sz="0" w:space="0" w:color="auto"/>
            <w:left w:val="none" w:sz="0" w:space="0" w:color="auto"/>
            <w:bottom w:val="none" w:sz="0" w:space="0" w:color="auto"/>
            <w:right w:val="none" w:sz="0" w:space="0" w:color="auto"/>
          </w:divBdr>
        </w:div>
        <w:div w:id="1451319207">
          <w:marLeft w:val="0"/>
          <w:marRight w:val="0"/>
          <w:marTop w:val="0"/>
          <w:marBottom w:val="0"/>
          <w:divBdr>
            <w:top w:val="none" w:sz="0" w:space="0" w:color="auto"/>
            <w:left w:val="none" w:sz="0" w:space="0" w:color="auto"/>
            <w:bottom w:val="none" w:sz="0" w:space="0" w:color="auto"/>
            <w:right w:val="none" w:sz="0" w:space="0" w:color="auto"/>
          </w:divBdr>
        </w:div>
        <w:div w:id="838544700">
          <w:marLeft w:val="0"/>
          <w:marRight w:val="0"/>
          <w:marTop w:val="0"/>
          <w:marBottom w:val="0"/>
          <w:divBdr>
            <w:top w:val="none" w:sz="0" w:space="0" w:color="auto"/>
            <w:left w:val="none" w:sz="0" w:space="0" w:color="auto"/>
            <w:bottom w:val="none" w:sz="0" w:space="0" w:color="auto"/>
            <w:right w:val="none" w:sz="0" w:space="0" w:color="auto"/>
          </w:divBdr>
        </w:div>
        <w:div w:id="2108889776">
          <w:marLeft w:val="0"/>
          <w:marRight w:val="0"/>
          <w:marTop w:val="0"/>
          <w:marBottom w:val="0"/>
          <w:divBdr>
            <w:top w:val="none" w:sz="0" w:space="0" w:color="auto"/>
            <w:left w:val="none" w:sz="0" w:space="0" w:color="auto"/>
            <w:bottom w:val="none" w:sz="0" w:space="0" w:color="auto"/>
            <w:right w:val="none" w:sz="0" w:space="0" w:color="auto"/>
          </w:divBdr>
        </w:div>
        <w:div w:id="1764951657">
          <w:marLeft w:val="0"/>
          <w:marRight w:val="0"/>
          <w:marTop w:val="0"/>
          <w:marBottom w:val="0"/>
          <w:divBdr>
            <w:top w:val="none" w:sz="0" w:space="0" w:color="auto"/>
            <w:left w:val="none" w:sz="0" w:space="0" w:color="auto"/>
            <w:bottom w:val="none" w:sz="0" w:space="0" w:color="auto"/>
            <w:right w:val="none" w:sz="0" w:space="0" w:color="auto"/>
          </w:divBdr>
        </w:div>
        <w:div w:id="2109883800">
          <w:marLeft w:val="0"/>
          <w:marRight w:val="0"/>
          <w:marTop w:val="0"/>
          <w:marBottom w:val="0"/>
          <w:divBdr>
            <w:top w:val="none" w:sz="0" w:space="0" w:color="auto"/>
            <w:left w:val="none" w:sz="0" w:space="0" w:color="auto"/>
            <w:bottom w:val="none" w:sz="0" w:space="0" w:color="auto"/>
            <w:right w:val="none" w:sz="0" w:space="0" w:color="auto"/>
          </w:divBdr>
        </w:div>
        <w:div w:id="1959801735">
          <w:marLeft w:val="0"/>
          <w:marRight w:val="0"/>
          <w:marTop w:val="0"/>
          <w:marBottom w:val="0"/>
          <w:divBdr>
            <w:top w:val="none" w:sz="0" w:space="0" w:color="auto"/>
            <w:left w:val="none" w:sz="0" w:space="0" w:color="auto"/>
            <w:bottom w:val="none" w:sz="0" w:space="0" w:color="auto"/>
            <w:right w:val="none" w:sz="0" w:space="0" w:color="auto"/>
          </w:divBdr>
        </w:div>
        <w:div w:id="1281381848">
          <w:marLeft w:val="0"/>
          <w:marRight w:val="0"/>
          <w:marTop w:val="0"/>
          <w:marBottom w:val="0"/>
          <w:divBdr>
            <w:top w:val="none" w:sz="0" w:space="0" w:color="auto"/>
            <w:left w:val="none" w:sz="0" w:space="0" w:color="auto"/>
            <w:bottom w:val="none" w:sz="0" w:space="0" w:color="auto"/>
            <w:right w:val="none" w:sz="0" w:space="0" w:color="auto"/>
          </w:divBdr>
        </w:div>
        <w:div w:id="1310790428">
          <w:marLeft w:val="0"/>
          <w:marRight w:val="0"/>
          <w:marTop w:val="0"/>
          <w:marBottom w:val="0"/>
          <w:divBdr>
            <w:top w:val="none" w:sz="0" w:space="0" w:color="auto"/>
            <w:left w:val="none" w:sz="0" w:space="0" w:color="auto"/>
            <w:bottom w:val="none" w:sz="0" w:space="0" w:color="auto"/>
            <w:right w:val="none" w:sz="0" w:space="0" w:color="auto"/>
          </w:divBdr>
        </w:div>
        <w:div w:id="591209078">
          <w:marLeft w:val="0"/>
          <w:marRight w:val="0"/>
          <w:marTop w:val="0"/>
          <w:marBottom w:val="0"/>
          <w:divBdr>
            <w:top w:val="none" w:sz="0" w:space="0" w:color="auto"/>
            <w:left w:val="none" w:sz="0" w:space="0" w:color="auto"/>
            <w:bottom w:val="none" w:sz="0" w:space="0" w:color="auto"/>
            <w:right w:val="none" w:sz="0" w:space="0" w:color="auto"/>
          </w:divBdr>
        </w:div>
        <w:div w:id="763261416">
          <w:marLeft w:val="0"/>
          <w:marRight w:val="0"/>
          <w:marTop w:val="0"/>
          <w:marBottom w:val="0"/>
          <w:divBdr>
            <w:top w:val="none" w:sz="0" w:space="0" w:color="auto"/>
            <w:left w:val="none" w:sz="0" w:space="0" w:color="auto"/>
            <w:bottom w:val="none" w:sz="0" w:space="0" w:color="auto"/>
            <w:right w:val="none" w:sz="0" w:space="0" w:color="auto"/>
          </w:divBdr>
        </w:div>
        <w:div w:id="110785790">
          <w:marLeft w:val="0"/>
          <w:marRight w:val="0"/>
          <w:marTop w:val="0"/>
          <w:marBottom w:val="0"/>
          <w:divBdr>
            <w:top w:val="none" w:sz="0" w:space="0" w:color="auto"/>
            <w:left w:val="none" w:sz="0" w:space="0" w:color="auto"/>
            <w:bottom w:val="none" w:sz="0" w:space="0" w:color="auto"/>
            <w:right w:val="none" w:sz="0" w:space="0" w:color="auto"/>
          </w:divBdr>
        </w:div>
        <w:div w:id="1790933356">
          <w:marLeft w:val="0"/>
          <w:marRight w:val="0"/>
          <w:marTop w:val="0"/>
          <w:marBottom w:val="0"/>
          <w:divBdr>
            <w:top w:val="none" w:sz="0" w:space="0" w:color="auto"/>
            <w:left w:val="none" w:sz="0" w:space="0" w:color="auto"/>
            <w:bottom w:val="none" w:sz="0" w:space="0" w:color="auto"/>
            <w:right w:val="none" w:sz="0" w:space="0" w:color="auto"/>
          </w:divBdr>
        </w:div>
        <w:div w:id="1066608251">
          <w:marLeft w:val="0"/>
          <w:marRight w:val="0"/>
          <w:marTop w:val="0"/>
          <w:marBottom w:val="0"/>
          <w:divBdr>
            <w:top w:val="none" w:sz="0" w:space="0" w:color="auto"/>
            <w:left w:val="none" w:sz="0" w:space="0" w:color="auto"/>
            <w:bottom w:val="none" w:sz="0" w:space="0" w:color="auto"/>
            <w:right w:val="none" w:sz="0" w:space="0" w:color="auto"/>
          </w:divBdr>
        </w:div>
        <w:div w:id="1168714498">
          <w:marLeft w:val="0"/>
          <w:marRight w:val="0"/>
          <w:marTop w:val="0"/>
          <w:marBottom w:val="0"/>
          <w:divBdr>
            <w:top w:val="none" w:sz="0" w:space="0" w:color="auto"/>
            <w:left w:val="none" w:sz="0" w:space="0" w:color="auto"/>
            <w:bottom w:val="none" w:sz="0" w:space="0" w:color="auto"/>
            <w:right w:val="none" w:sz="0" w:space="0" w:color="auto"/>
          </w:divBdr>
        </w:div>
        <w:div w:id="1912538361">
          <w:marLeft w:val="0"/>
          <w:marRight w:val="0"/>
          <w:marTop w:val="0"/>
          <w:marBottom w:val="0"/>
          <w:divBdr>
            <w:top w:val="none" w:sz="0" w:space="0" w:color="auto"/>
            <w:left w:val="none" w:sz="0" w:space="0" w:color="auto"/>
            <w:bottom w:val="none" w:sz="0" w:space="0" w:color="auto"/>
            <w:right w:val="none" w:sz="0" w:space="0" w:color="auto"/>
          </w:divBdr>
        </w:div>
        <w:div w:id="1319460960">
          <w:marLeft w:val="0"/>
          <w:marRight w:val="0"/>
          <w:marTop w:val="0"/>
          <w:marBottom w:val="0"/>
          <w:divBdr>
            <w:top w:val="none" w:sz="0" w:space="0" w:color="auto"/>
            <w:left w:val="none" w:sz="0" w:space="0" w:color="auto"/>
            <w:bottom w:val="none" w:sz="0" w:space="0" w:color="auto"/>
            <w:right w:val="none" w:sz="0" w:space="0" w:color="auto"/>
          </w:divBdr>
        </w:div>
        <w:div w:id="1790005715">
          <w:marLeft w:val="0"/>
          <w:marRight w:val="0"/>
          <w:marTop w:val="0"/>
          <w:marBottom w:val="0"/>
          <w:divBdr>
            <w:top w:val="none" w:sz="0" w:space="0" w:color="auto"/>
            <w:left w:val="none" w:sz="0" w:space="0" w:color="auto"/>
            <w:bottom w:val="none" w:sz="0" w:space="0" w:color="auto"/>
            <w:right w:val="none" w:sz="0" w:space="0" w:color="auto"/>
          </w:divBdr>
        </w:div>
        <w:div w:id="468741369">
          <w:marLeft w:val="0"/>
          <w:marRight w:val="0"/>
          <w:marTop w:val="0"/>
          <w:marBottom w:val="0"/>
          <w:divBdr>
            <w:top w:val="none" w:sz="0" w:space="0" w:color="auto"/>
            <w:left w:val="none" w:sz="0" w:space="0" w:color="auto"/>
            <w:bottom w:val="none" w:sz="0" w:space="0" w:color="auto"/>
            <w:right w:val="none" w:sz="0" w:space="0" w:color="auto"/>
          </w:divBdr>
        </w:div>
        <w:div w:id="938221144">
          <w:marLeft w:val="0"/>
          <w:marRight w:val="0"/>
          <w:marTop w:val="0"/>
          <w:marBottom w:val="0"/>
          <w:divBdr>
            <w:top w:val="none" w:sz="0" w:space="0" w:color="auto"/>
            <w:left w:val="none" w:sz="0" w:space="0" w:color="auto"/>
            <w:bottom w:val="none" w:sz="0" w:space="0" w:color="auto"/>
            <w:right w:val="none" w:sz="0" w:space="0" w:color="auto"/>
          </w:divBdr>
        </w:div>
        <w:div w:id="382293935">
          <w:marLeft w:val="0"/>
          <w:marRight w:val="0"/>
          <w:marTop w:val="0"/>
          <w:marBottom w:val="0"/>
          <w:divBdr>
            <w:top w:val="none" w:sz="0" w:space="0" w:color="auto"/>
            <w:left w:val="none" w:sz="0" w:space="0" w:color="auto"/>
            <w:bottom w:val="none" w:sz="0" w:space="0" w:color="auto"/>
            <w:right w:val="none" w:sz="0" w:space="0" w:color="auto"/>
          </w:divBdr>
        </w:div>
        <w:div w:id="2098011708">
          <w:marLeft w:val="0"/>
          <w:marRight w:val="0"/>
          <w:marTop w:val="0"/>
          <w:marBottom w:val="0"/>
          <w:divBdr>
            <w:top w:val="none" w:sz="0" w:space="0" w:color="auto"/>
            <w:left w:val="none" w:sz="0" w:space="0" w:color="auto"/>
            <w:bottom w:val="none" w:sz="0" w:space="0" w:color="auto"/>
            <w:right w:val="none" w:sz="0" w:space="0" w:color="auto"/>
          </w:divBdr>
        </w:div>
        <w:div w:id="1945724468">
          <w:marLeft w:val="0"/>
          <w:marRight w:val="0"/>
          <w:marTop w:val="0"/>
          <w:marBottom w:val="0"/>
          <w:divBdr>
            <w:top w:val="none" w:sz="0" w:space="0" w:color="auto"/>
            <w:left w:val="none" w:sz="0" w:space="0" w:color="auto"/>
            <w:bottom w:val="none" w:sz="0" w:space="0" w:color="auto"/>
            <w:right w:val="none" w:sz="0" w:space="0" w:color="auto"/>
          </w:divBdr>
        </w:div>
        <w:div w:id="2078941280">
          <w:marLeft w:val="0"/>
          <w:marRight w:val="0"/>
          <w:marTop w:val="0"/>
          <w:marBottom w:val="0"/>
          <w:divBdr>
            <w:top w:val="none" w:sz="0" w:space="0" w:color="auto"/>
            <w:left w:val="none" w:sz="0" w:space="0" w:color="auto"/>
            <w:bottom w:val="none" w:sz="0" w:space="0" w:color="auto"/>
            <w:right w:val="none" w:sz="0" w:space="0" w:color="auto"/>
          </w:divBdr>
        </w:div>
        <w:div w:id="655107884">
          <w:marLeft w:val="0"/>
          <w:marRight w:val="0"/>
          <w:marTop w:val="0"/>
          <w:marBottom w:val="0"/>
          <w:divBdr>
            <w:top w:val="none" w:sz="0" w:space="0" w:color="auto"/>
            <w:left w:val="none" w:sz="0" w:space="0" w:color="auto"/>
            <w:bottom w:val="none" w:sz="0" w:space="0" w:color="auto"/>
            <w:right w:val="none" w:sz="0" w:space="0" w:color="auto"/>
          </w:divBdr>
        </w:div>
        <w:div w:id="1242762847">
          <w:marLeft w:val="0"/>
          <w:marRight w:val="0"/>
          <w:marTop w:val="0"/>
          <w:marBottom w:val="0"/>
          <w:divBdr>
            <w:top w:val="none" w:sz="0" w:space="0" w:color="auto"/>
            <w:left w:val="none" w:sz="0" w:space="0" w:color="auto"/>
            <w:bottom w:val="none" w:sz="0" w:space="0" w:color="auto"/>
            <w:right w:val="none" w:sz="0" w:space="0" w:color="auto"/>
          </w:divBdr>
        </w:div>
        <w:div w:id="1619752652">
          <w:marLeft w:val="0"/>
          <w:marRight w:val="0"/>
          <w:marTop w:val="0"/>
          <w:marBottom w:val="0"/>
          <w:divBdr>
            <w:top w:val="none" w:sz="0" w:space="0" w:color="auto"/>
            <w:left w:val="none" w:sz="0" w:space="0" w:color="auto"/>
            <w:bottom w:val="none" w:sz="0" w:space="0" w:color="auto"/>
            <w:right w:val="none" w:sz="0" w:space="0" w:color="auto"/>
          </w:divBdr>
        </w:div>
        <w:div w:id="244730258">
          <w:marLeft w:val="0"/>
          <w:marRight w:val="0"/>
          <w:marTop w:val="0"/>
          <w:marBottom w:val="0"/>
          <w:divBdr>
            <w:top w:val="none" w:sz="0" w:space="0" w:color="auto"/>
            <w:left w:val="none" w:sz="0" w:space="0" w:color="auto"/>
            <w:bottom w:val="none" w:sz="0" w:space="0" w:color="auto"/>
            <w:right w:val="none" w:sz="0" w:space="0" w:color="auto"/>
          </w:divBdr>
        </w:div>
        <w:div w:id="2046244994">
          <w:marLeft w:val="0"/>
          <w:marRight w:val="0"/>
          <w:marTop w:val="0"/>
          <w:marBottom w:val="0"/>
          <w:divBdr>
            <w:top w:val="none" w:sz="0" w:space="0" w:color="auto"/>
            <w:left w:val="none" w:sz="0" w:space="0" w:color="auto"/>
            <w:bottom w:val="none" w:sz="0" w:space="0" w:color="auto"/>
            <w:right w:val="none" w:sz="0" w:space="0" w:color="auto"/>
          </w:divBdr>
        </w:div>
        <w:div w:id="1561133110">
          <w:marLeft w:val="0"/>
          <w:marRight w:val="0"/>
          <w:marTop w:val="0"/>
          <w:marBottom w:val="0"/>
          <w:divBdr>
            <w:top w:val="none" w:sz="0" w:space="0" w:color="auto"/>
            <w:left w:val="none" w:sz="0" w:space="0" w:color="auto"/>
            <w:bottom w:val="none" w:sz="0" w:space="0" w:color="auto"/>
            <w:right w:val="none" w:sz="0" w:space="0" w:color="auto"/>
          </w:divBdr>
        </w:div>
        <w:div w:id="456146788">
          <w:marLeft w:val="0"/>
          <w:marRight w:val="0"/>
          <w:marTop w:val="0"/>
          <w:marBottom w:val="0"/>
          <w:divBdr>
            <w:top w:val="none" w:sz="0" w:space="0" w:color="auto"/>
            <w:left w:val="none" w:sz="0" w:space="0" w:color="auto"/>
            <w:bottom w:val="none" w:sz="0" w:space="0" w:color="auto"/>
            <w:right w:val="none" w:sz="0" w:space="0" w:color="auto"/>
          </w:divBdr>
        </w:div>
        <w:div w:id="1863586041">
          <w:marLeft w:val="0"/>
          <w:marRight w:val="0"/>
          <w:marTop w:val="0"/>
          <w:marBottom w:val="0"/>
          <w:divBdr>
            <w:top w:val="none" w:sz="0" w:space="0" w:color="auto"/>
            <w:left w:val="none" w:sz="0" w:space="0" w:color="auto"/>
            <w:bottom w:val="none" w:sz="0" w:space="0" w:color="auto"/>
            <w:right w:val="none" w:sz="0" w:space="0" w:color="auto"/>
          </w:divBdr>
        </w:div>
        <w:div w:id="878055270">
          <w:marLeft w:val="0"/>
          <w:marRight w:val="0"/>
          <w:marTop w:val="0"/>
          <w:marBottom w:val="0"/>
          <w:divBdr>
            <w:top w:val="none" w:sz="0" w:space="0" w:color="auto"/>
            <w:left w:val="none" w:sz="0" w:space="0" w:color="auto"/>
            <w:bottom w:val="none" w:sz="0" w:space="0" w:color="auto"/>
            <w:right w:val="none" w:sz="0" w:space="0" w:color="auto"/>
          </w:divBdr>
        </w:div>
        <w:div w:id="1146627563">
          <w:marLeft w:val="0"/>
          <w:marRight w:val="0"/>
          <w:marTop w:val="0"/>
          <w:marBottom w:val="0"/>
          <w:divBdr>
            <w:top w:val="none" w:sz="0" w:space="0" w:color="auto"/>
            <w:left w:val="none" w:sz="0" w:space="0" w:color="auto"/>
            <w:bottom w:val="none" w:sz="0" w:space="0" w:color="auto"/>
            <w:right w:val="none" w:sz="0" w:space="0" w:color="auto"/>
          </w:divBdr>
        </w:div>
        <w:div w:id="853306816">
          <w:marLeft w:val="0"/>
          <w:marRight w:val="0"/>
          <w:marTop w:val="0"/>
          <w:marBottom w:val="0"/>
          <w:divBdr>
            <w:top w:val="none" w:sz="0" w:space="0" w:color="auto"/>
            <w:left w:val="none" w:sz="0" w:space="0" w:color="auto"/>
            <w:bottom w:val="none" w:sz="0" w:space="0" w:color="auto"/>
            <w:right w:val="none" w:sz="0" w:space="0" w:color="auto"/>
          </w:divBdr>
        </w:div>
        <w:div w:id="2132547177">
          <w:marLeft w:val="0"/>
          <w:marRight w:val="0"/>
          <w:marTop w:val="0"/>
          <w:marBottom w:val="0"/>
          <w:divBdr>
            <w:top w:val="none" w:sz="0" w:space="0" w:color="auto"/>
            <w:left w:val="none" w:sz="0" w:space="0" w:color="auto"/>
            <w:bottom w:val="none" w:sz="0" w:space="0" w:color="auto"/>
            <w:right w:val="none" w:sz="0" w:space="0" w:color="auto"/>
          </w:divBdr>
        </w:div>
        <w:div w:id="1118793685">
          <w:marLeft w:val="0"/>
          <w:marRight w:val="0"/>
          <w:marTop w:val="0"/>
          <w:marBottom w:val="0"/>
          <w:divBdr>
            <w:top w:val="none" w:sz="0" w:space="0" w:color="auto"/>
            <w:left w:val="none" w:sz="0" w:space="0" w:color="auto"/>
            <w:bottom w:val="none" w:sz="0" w:space="0" w:color="auto"/>
            <w:right w:val="none" w:sz="0" w:space="0" w:color="auto"/>
          </w:divBdr>
        </w:div>
        <w:div w:id="2054187069">
          <w:marLeft w:val="0"/>
          <w:marRight w:val="0"/>
          <w:marTop w:val="0"/>
          <w:marBottom w:val="0"/>
          <w:divBdr>
            <w:top w:val="none" w:sz="0" w:space="0" w:color="auto"/>
            <w:left w:val="none" w:sz="0" w:space="0" w:color="auto"/>
            <w:bottom w:val="none" w:sz="0" w:space="0" w:color="auto"/>
            <w:right w:val="none" w:sz="0" w:space="0" w:color="auto"/>
          </w:divBdr>
        </w:div>
        <w:div w:id="559049788">
          <w:marLeft w:val="0"/>
          <w:marRight w:val="0"/>
          <w:marTop w:val="0"/>
          <w:marBottom w:val="0"/>
          <w:divBdr>
            <w:top w:val="none" w:sz="0" w:space="0" w:color="auto"/>
            <w:left w:val="none" w:sz="0" w:space="0" w:color="auto"/>
            <w:bottom w:val="none" w:sz="0" w:space="0" w:color="auto"/>
            <w:right w:val="none" w:sz="0" w:space="0" w:color="auto"/>
          </w:divBdr>
        </w:div>
        <w:div w:id="1804734097">
          <w:marLeft w:val="0"/>
          <w:marRight w:val="0"/>
          <w:marTop w:val="0"/>
          <w:marBottom w:val="0"/>
          <w:divBdr>
            <w:top w:val="none" w:sz="0" w:space="0" w:color="auto"/>
            <w:left w:val="none" w:sz="0" w:space="0" w:color="auto"/>
            <w:bottom w:val="none" w:sz="0" w:space="0" w:color="auto"/>
            <w:right w:val="none" w:sz="0" w:space="0" w:color="auto"/>
          </w:divBdr>
        </w:div>
        <w:div w:id="1763800988">
          <w:marLeft w:val="0"/>
          <w:marRight w:val="0"/>
          <w:marTop w:val="0"/>
          <w:marBottom w:val="0"/>
          <w:divBdr>
            <w:top w:val="none" w:sz="0" w:space="0" w:color="auto"/>
            <w:left w:val="none" w:sz="0" w:space="0" w:color="auto"/>
            <w:bottom w:val="none" w:sz="0" w:space="0" w:color="auto"/>
            <w:right w:val="none" w:sz="0" w:space="0" w:color="auto"/>
          </w:divBdr>
        </w:div>
        <w:div w:id="930743261">
          <w:marLeft w:val="0"/>
          <w:marRight w:val="0"/>
          <w:marTop w:val="0"/>
          <w:marBottom w:val="0"/>
          <w:divBdr>
            <w:top w:val="none" w:sz="0" w:space="0" w:color="auto"/>
            <w:left w:val="none" w:sz="0" w:space="0" w:color="auto"/>
            <w:bottom w:val="none" w:sz="0" w:space="0" w:color="auto"/>
            <w:right w:val="none" w:sz="0" w:space="0" w:color="auto"/>
          </w:divBdr>
        </w:div>
        <w:div w:id="903294741">
          <w:marLeft w:val="0"/>
          <w:marRight w:val="0"/>
          <w:marTop w:val="0"/>
          <w:marBottom w:val="0"/>
          <w:divBdr>
            <w:top w:val="none" w:sz="0" w:space="0" w:color="auto"/>
            <w:left w:val="none" w:sz="0" w:space="0" w:color="auto"/>
            <w:bottom w:val="none" w:sz="0" w:space="0" w:color="auto"/>
            <w:right w:val="none" w:sz="0" w:space="0" w:color="auto"/>
          </w:divBdr>
        </w:div>
        <w:div w:id="1051656658">
          <w:marLeft w:val="0"/>
          <w:marRight w:val="0"/>
          <w:marTop w:val="0"/>
          <w:marBottom w:val="0"/>
          <w:divBdr>
            <w:top w:val="none" w:sz="0" w:space="0" w:color="auto"/>
            <w:left w:val="none" w:sz="0" w:space="0" w:color="auto"/>
            <w:bottom w:val="none" w:sz="0" w:space="0" w:color="auto"/>
            <w:right w:val="none" w:sz="0" w:space="0" w:color="auto"/>
          </w:divBdr>
        </w:div>
        <w:div w:id="1530296418">
          <w:marLeft w:val="0"/>
          <w:marRight w:val="0"/>
          <w:marTop w:val="0"/>
          <w:marBottom w:val="0"/>
          <w:divBdr>
            <w:top w:val="none" w:sz="0" w:space="0" w:color="auto"/>
            <w:left w:val="none" w:sz="0" w:space="0" w:color="auto"/>
            <w:bottom w:val="none" w:sz="0" w:space="0" w:color="auto"/>
            <w:right w:val="none" w:sz="0" w:space="0" w:color="auto"/>
          </w:divBdr>
        </w:div>
        <w:div w:id="1774014657">
          <w:marLeft w:val="0"/>
          <w:marRight w:val="0"/>
          <w:marTop w:val="0"/>
          <w:marBottom w:val="0"/>
          <w:divBdr>
            <w:top w:val="none" w:sz="0" w:space="0" w:color="auto"/>
            <w:left w:val="none" w:sz="0" w:space="0" w:color="auto"/>
            <w:bottom w:val="none" w:sz="0" w:space="0" w:color="auto"/>
            <w:right w:val="none" w:sz="0" w:space="0" w:color="auto"/>
          </w:divBdr>
        </w:div>
        <w:div w:id="624314860">
          <w:marLeft w:val="0"/>
          <w:marRight w:val="0"/>
          <w:marTop w:val="0"/>
          <w:marBottom w:val="0"/>
          <w:divBdr>
            <w:top w:val="none" w:sz="0" w:space="0" w:color="auto"/>
            <w:left w:val="none" w:sz="0" w:space="0" w:color="auto"/>
            <w:bottom w:val="none" w:sz="0" w:space="0" w:color="auto"/>
            <w:right w:val="none" w:sz="0" w:space="0" w:color="auto"/>
          </w:divBdr>
        </w:div>
        <w:div w:id="2005811938">
          <w:marLeft w:val="0"/>
          <w:marRight w:val="0"/>
          <w:marTop w:val="0"/>
          <w:marBottom w:val="0"/>
          <w:divBdr>
            <w:top w:val="none" w:sz="0" w:space="0" w:color="auto"/>
            <w:left w:val="none" w:sz="0" w:space="0" w:color="auto"/>
            <w:bottom w:val="none" w:sz="0" w:space="0" w:color="auto"/>
            <w:right w:val="none" w:sz="0" w:space="0" w:color="auto"/>
          </w:divBdr>
        </w:div>
        <w:div w:id="2108649086">
          <w:marLeft w:val="0"/>
          <w:marRight w:val="0"/>
          <w:marTop w:val="0"/>
          <w:marBottom w:val="0"/>
          <w:divBdr>
            <w:top w:val="none" w:sz="0" w:space="0" w:color="auto"/>
            <w:left w:val="none" w:sz="0" w:space="0" w:color="auto"/>
            <w:bottom w:val="none" w:sz="0" w:space="0" w:color="auto"/>
            <w:right w:val="none" w:sz="0" w:space="0" w:color="auto"/>
          </w:divBdr>
        </w:div>
        <w:div w:id="2010600355">
          <w:marLeft w:val="0"/>
          <w:marRight w:val="0"/>
          <w:marTop w:val="0"/>
          <w:marBottom w:val="0"/>
          <w:divBdr>
            <w:top w:val="none" w:sz="0" w:space="0" w:color="auto"/>
            <w:left w:val="none" w:sz="0" w:space="0" w:color="auto"/>
            <w:bottom w:val="none" w:sz="0" w:space="0" w:color="auto"/>
            <w:right w:val="none" w:sz="0" w:space="0" w:color="auto"/>
          </w:divBdr>
        </w:div>
        <w:div w:id="670180206">
          <w:marLeft w:val="0"/>
          <w:marRight w:val="0"/>
          <w:marTop w:val="0"/>
          <w:marBottom w:val="0"/>
          <w:divBdr>
            <w:top w:val="none" w:sz="0" w:space="0" w:color="auto"/>
            <w:left w:val="none" w:sz="0" w:space="0" w:color="auto"/>
            <w:bottom w:val="none" w:sz="0" w:space="0" w:color="auto"/>
            <w:right w:val="none" w:sz="0" w:space="0" w:color="auto"/>
          </w:divBdr>
        </w:div>
        <w:div w:id="975719645">
          <w:marLeft w:val="0"/>
          <w:marRight w:val="0"/>
          <w:marTop w:val="0"/>
          <w:marBottom w:val="0"/>
          <w:divBdr>
            <w:top w:val="none" w:sz="0" w:space="0" w:color="auto"/>
            <w:left w:val="none" w:sz="0" w:space="0" w:color="auto"/>
            <w:bottom w:val="none" w:sz="0" w:space="0" w:color="auto"/>
            <w:right w:val="none" w:sz="0" w:space="0" w:color="auto"/>
          </w:divBdr>
        </w:div>
        <w:div w:id="1817599901">
          <w:marLeft w:val="0"/>
          <w:marRight w:val="0"/>
          <w:marTop w:val="0"/>
          <w:marBottom w:val="0"/>
          <w:divBdr>
            <w:top w:val="none" w:sz="0" w:space="0" w:color="auto"/>
            <w:left w:val="none" w:sz="0" w:space="0" w:color="auto"/>
            <w:bottom w:val="none" w:sz="0" w:space="0" w:color="auto"/>
            <w:right w:val="none" w:sz="0" w:space="0" w:color="auto"/>
          </w:divBdr>
        </w:div>
        <w:div w:id="798107237">
          <w:marLeft w:val="0"/>
          <w:marRight w:val="0"/>
          <w:marTop w:val="0"/>
          <w:marBottom w:val="0"/>
          <w:divBdr>
            <w:top w:val="none" w:sz="0" w:space="0" w:color="auto"/>
            <w:left w:val="none" w:sz="0" w:space="0" w:color="auto"/>
            <w:bottom w:val="none" w:sz="0" w:space="0" w:color="auto"/>
            <w:right w:val="none" w:sz="0" w:space="0" w:color="auto"/>
          </w:divBdr>
        </w:div>
        <w:div w:id="2018147522">
          <w:marLeft w:val="0"/>
          <w:marRight w:val="0"/>
          <w:marTop w:val="0"/>
          <w:marBottom w:val="0"/>
          <w:divBdr>
            <w:top w:val="none" w:sz="0" w:space="0" w:color="auto"/>
            <w:left w:val="none" w:sz="0" w:space="0" w:color="auto"/>
            <w:bottom w:val="none" w:sz="0" w:space="0" w:color="auto"/>
            <w:right w:val="none" w:sz="0" w:space="0" w:color="auto"/>
          </w:divBdr>
        </w:div>
        <w:div w:id="986318297">
          <w:marLeft w:val="0"/>
          <w:marRight w:val="0"/>
          <w:marTop w:val="0"/>
          <w:marBottom w:val="0"/>
          <w:divBdr>
            <w:top w:val="none" w:sz="0" w:space="0" w:color="auto"/>
            <w:left w:val="none" w:sz="0" w:space="0" w:color="auto"/>
            <w:bottom w:val="none" w:sz="0" w:space="0" w:color="auto"/>
            <w:right w:val="none" w:sz="0" w:space="0" w:color="auto"/>
          </w:divBdr>
        </w:div>
        <w:div w:id="1406802978">
          <w:marLeft w:val="0"/>
          <w:marRight w:val="0"/>
          <w:marTop w:val="0"/>
          <w:marBottom w:val="0"/>
          <w:divBdr>
            <w:top w:val="none" w:sz="0" w:space="0" w:color="auto"/>
            <w:left w:val="none" w:sz="0" w:space="0" w:color="auto"/>
            <w:bottom w:val="none" w:sz="0" w:space="0" w:color="auto"/>
            <w:right w:val="none" w:sz="0" w:space="0" w:color="auto"/>
          </w:divBdr>
        </w:div>
        <w:div w:id="1102188045">
          <w:marLeft w:val="0"/>
          <w:marRight w:val="0"/>
          <w:marTop w:val="0"/>
          <w:marBottom w:val="0"/>
          <w:divBdr>
            <w:top w:val="none" w:sz="0" w:space="0" w:color="auto"/>
            <w:left w:val="none" w:sz="0" w:space="0" w:color="auto"/>
            <w:bottom w:val="none" w:sz="0" w:space="0" w:color="auto"/>
            <w:right w:val="none" w:sz="0" w:space="0" w:color="auto"/>
          </w:divBdr>
        </w:div>
        <w:div w:id="485972873">
          <w:marLeft w:val="0"/>
          <w:marRight w:val="0"/>
          <w:marTop w:val="0"/>
          <w:marBottom w:val="0"/>
          <w:divBdr>
            <w:top w:val="none" w:sz="0" w:space="0" w:color="auto"/>
            <w:left w:val="none" w:sz="0" w:space="0" w:color="auto"/>
            <w:bottom w:val="none" w:sz="0" w:space="0" w:color="auto"/>
            <w:right w:val="none" w:sz="0" w:space="0" w:color="auto"/>
          </w:divBdr>
        </w:div>
        <w:div w:id="767579814">
          <w:marLeft w:val="0"/>
          <w:marRight w:val="0"/>
          <w:marTop w:val="0"/>
          <w:marBottom w:val="0"/>
          <w:divBdr>
            <w:top w:val="none" w:sz="0" w:space="0" w:color="auto"/>
            <w:left w:val="none" w:sz="0" w:space="0" w:color="auto"/>
            <w:bottom w:val="none" w:sz="0" w:space="0" w:color="auto"/>
            <w:right w:val="none" w:sz="0" w:space="0" w:color="auto"/>
          </w:divBdr>
        </w:div>
        <w:div w:id="1076173206">
          <w:marLeft w:val="0"/>
          <w:marRight w:val="0"/>
          <w:marTop w:val="0"/>
          <w:marBottom w:val="0"/>
          <w:divBdr>
            <w:top w:val="none" w:sz="0" w:space="0" w:color="auto"/>
            <w:left w:val="none" w:sz="0" w:space="0" w:color="auto"/>
            <w:bottom w:val="none" w:sz="0" w:space="0" w:color="auto"/>
            <w:right w:val="none" w:sz="0" w:space="0" w:color="auto"/>
          </w:divBdr>
        </w:div>
        <w:div w:id="494491286">
          <w:marLeft w:val="0"/>
          <w:marRight w:val="0"/>
          <w:marTop w:val="0"/>
          <w:marBottom w:val="0"/>
          <w:divBdr>
            <w:top w:val="none" w:sz="0" w:space="0" w:color="auto"/>
            <w:left w:val="none" w:sz="0" w:space="0" w:color="auto"/>
            <w:bottom w:val="none" w:sz="0" w:space="0" w:color="auto"/>
            <w:right w:val="none" w:sz="0" w:space="0" w:color="auto"/>
          </w:divBdr>
        </w:div>
        <w:div w:id="1351571265">
          <w:marLeft w:val="0"/>
          <w:marRight w:val="0"/>
          <w:marTop w:val="0"/>
          <w:marBottom w:val="0"/>
          <w:divBdr>
            <w:top w:val="none" w:sz="0" w:space="0" w:color="auto"/>
            <w:left w:val="none" w:sz="0" w:space="0" w:color="auto"/>
            <w:bottom w:val="none" w:sz="0" w:space="0" w:color="auto"/>
            <w:right w:val="none" w:sz="0" w:space="0" w:color="auto"/>
          </w:divBdr>
        </w:div>
        <w:div w:id="2003191232">
          <w:marLeft w:val="0"/>
          <w:marRight w:val="0"/>
          <w:marTop w:val="0"/>
          <w:marBottom w:val="0"/>
          <w:divBdr>
            <w:top w:val="none" w:sz="0" w:space="0" w:color="auto"/>
            <w:left w:val="none" w:sz="0" w:space="0" w:color="auto"/>
            <w:bottom w:val="none" w:sz="0" w:space="0" w:color="auto"/>
            <w:right w:val="none" w:sz="0" w:space="0" w:color="auto"/>
          </w:divBdr>
        </w:div>
        <w:div w:id="2036421336">
          <w:marLeft w:val="0"/>
          <w:marRight w:val="0"/>
          <w:marTop w:val="0"/>
          <w:marBottom w:val="0"/>
          <w:divBdr>
            <w:top w:val="none" w:sz="0" w:space="0" w:color="auto"/>
            <w:left w:val="none" w:sz="0" w:space="0" w:color="auto"/>
            <w:bottom w:val="none" w:sz="0" w:space="0" w:color="auto"/>
            <w:right w:val="none" w:sz="0" w:space="0" w:color="auto"/>
          </w:divBdr>
        </w:div>
      </w:divsChild>
    </w:div>
    <w:div w:id="1610434560">
      <w:bodyDiv w:val="1"/>
      <w:marLeft w:val="0"/>
      <w:marRight w:val="0"/>
      <w:marTop w:val="0"/>
      <w:marBottom w:val="0"/>
      <w:divBdr>
        <w:top w:val="none" w:sz="0" w:space="0" w:color="auto"/>
        <w:left w:val="none" w:sz="0" w:space="0" w:color="auto"/>
        <w:bottom w:val="none" w:sz="0" w:space="0" w:color="auto"/>
        <w:right w:val="none" w:sz="0" w:space="0" w:color="auto"/>
      </w:divBdr>
      <w:divsChild>
        <w:div w:id="1301379756">
          <w:marLeft w:val="0"/>
          <w:marRight w:val="0"/>
          <w:marTop w:val="0"/>
          <w:marBottom w:val="0"/>
          <w:divBdr>
            <w:top w:val="none" w:sz="0" w:space="0" w:color="auto"/>
            <w:left w:val="none" w:sz="0" w:space="0" w:color="auto"/>
            <w:bottom w:val="none" w:sz="0" w:space="0" w:color="auto"/>
            <w:right w:val="none" w:sz="0" w:space="0" w:color="auto"/>
          </w:divBdr>
        </w:div>
        <w:div w:id="1023357051">
          <w:marLeft w:val="0"/>
          <w:marRight w:val="0"/>
          <w:marTop w:val="0"/>
          <w:marBottom w:val="0"/>
          <w:divBdr>
            <w:top w:val="none" w:sz="0" w:space="0" w:color="auto"/>
            <w:left w:val="none" w:sz="0" w:space="0" w:color="auto"/>
            <w:bottom w:val="none" w:sz="0" w:space="0" w:color="auto"/>
            <w:right w:val="none" w:sz="0" w:space="0" w:color="auto"/>
          </w:divBdr>
        </w:div>
        <w:div w:id="1901792596">
          <w:marLeft w:val="0"/>
          <w:marRight w:val="0"/>
          <w:marTop w:val="0"/>
          <w:marBottom w:val="0"/>
          <w:divBdr>
            <w:top w:val="none" w:sz="0" w:space="0" w:color="auto"/>
            <w:left w:val="none" w:sz="0" w:space="0" w:color="auto"/>
            <w:bottom w:val="none" w:sz="0" w:space="0" w:color="auto"/>
            <w:right w:val="none" w:sz="0" w:space="0" w:color="auto"/>
          </w:divBdr>
        </w:div>
        <w:div w:id="1799764721">
          <w:marLeft w:val="0"/>
          <w:marRight w:val="0"/>
          <w:marTop w:val="0"/>
          <w:marBottom w:val="0"/>
          <w:divBdr>
            <w:top w:val="none" w:sz="0" w:space="0" w:color="auto"/>
            <w:left w:val="none" w:sz="0" w:space="0" w:color="auto"/>
            <w:bottom w:val="none" w:sz="0" w:space="0" w:color="auto"/>
            <w:right w:val="none" w:sz="0" w:space="0" w:color="auto"/>
          </w:divBdr>
        </w:div>
        <w:div w:id="1201746918">
          <w:marLeft w:val="0"/>
          <w:marRight w:val="0"/>
          <w:marTop w:val="0"/>
          <w:marBottom w:val="0"/>
          <w:divBdr>
            <w:top w:val="none" w:sz="0" w:space="0" w:color="auto"/>
            <w:left w:val="none" w:sz="0" w:space="0" w:color="auto"/>
            <w:bottom w:val="none" w:sz="0" w:space="0" w:color="auto"/>
            <w:right w:val="none" w:sz="0" w:space="0" w:color="auto"/>
          </w:divBdr>
        </w:div>
        <w:div w:id="142965482">
          <w:marLeft w:val="0"/>
          <w:marRight w:val="0"/>
          <w:marTop w:val="0"/>
          <w:marBottom w:val="0"/>
          <w:divBdr>
            <w:top w:val="none" w:sz="0" w:space="0" w:color="auto"/>
            <w:left w:val="none" w:sz="0" w:space="0" w:color="auto"/>
            <w:bottom w:val="none" w:sz="0" w:space="0" w:color="auto"/>
            <w:right w:val="none" w:sz="0" w:space="0" w:color="auto"/>
          </w:divBdr>
        </w:div>
        <w:div w:id="570309884">
          <w:marLeft w:val="0"/>
          <w:marRight w:val="0"/>
          <w:marTop w:val="0"/>
          <w:marBottom w:val="0"/>
          <w:divBdr>
            <w:top w:val="none" w:sz="0" w:space="0" w:color="auto"/>
            <w:left w:val="none" w:sz="0" w:space="0" w:color="auto"/>
            <w:bottom w:val="none" w:sz="0" w:space="0" w:color="auto"/>
            <w:right w:val="none" w:sz="0" w:space="0" w:color="auto"/>
          </w:divBdr>
        </w:div>
        <w:div w:id="877279227">
          <w:marLeft w:val="0"/>
          <w:marRight w:val="0"/>
          <w:marTop w:val="0"/>
          <w:marBottom w:val="0"/>
          <w:divBdr>
            <w:top w:val="none" w:sz="0" w:space="0" w:color="auto"/>
            <w:left w:val="none" w:sz="0" w:space="0" w:color="auto"/>
            <w:bottom w:val="none" w:sz="0" w:space="0" w:color="auto"/>
            <w:right w:val="none" w:sz="0" w:space="0" w:color="auto"/>
          </w:divBdr>
        </w:div>
        <w:div w:id="867065399">
          <w:marLeft w:val="0"/>
          <w:marRight w:val="0"/>
          <w:marTop w:val="0"/>
          <w:marBottom w:val="0"/>
          <w:divBdr>
            <w:top w:val="none" w:sz="0" w:space="0" w:color="auto"/>
            <w:left w:val="none" w:sz="0" w:space="0" w:color="auto"/>
            <w:bottom w:val="none" w:sz="0" w:space="0" w:color="auto"/>
            <w:right w:val="none" w:sz="0" w:space="0" w:color="auto"/>
          </w:divBdr>
        </w:div>
        <w:div w:id="2055155209">
          <w:marLeft w:val="0"/>
          <w:marRight w:val="0"/>
          <w:marTop w:val="0"/>
          <w:marBottom w:val="0"/>
          <w:divBdr>
            <w:top w:val="none" w:sz="0" w:space="0" w:color="auto"/>
            <w:left w:val="none" w:sz="0" w:space="0" w:color="auto"/>
            <w:bottom w:val="none" w:sz="0" w:space="0" w:color="auto"/>
            <w:right w:val="none" w:sz="0" w:space="0" w:color="auto"/>
          </w:divBdr>
        </w:div>
        <w:div w:id="427388234">
          <w:marLeft w:val="0"/>
          <w:marRight w:val="0"/>
          <w:marTop w:val="0"/>
          <w:marBottom w:val="0"/>
          <w:divBdr>
            <w:top w:val="none" w:sz="0" w:space="0" w:color="auto"/>
            <w:left w:val="none" w:sz="0" w:space="0" w:color="auto"/>
            <w:bottom w:val="none" w:sz="0" w:space="0" w:color="auto"/>
            <w:right w:val="none" w:sz="0" w:space="0" w:color="auto"/>
          </w:divBdr>
        </w:div>
        <w:div w:id="1806198508">
          <w:marLeft w:val="0"/>
          <w:marRight w:val="0"/>
          <w:marTop w:val="0"/>
          <w:marBottom w:val="0"/>
          <w:divBdr>
            <w:top w:val="none" w:sz="0" w:space="0" w:color="auto"/>
            <w:left w:val="none" w:sz="0" w:space="0" w:color="auto"/>
            <w:bottom w:val="none" w:sz="0" w:space="0" w:color="auto"/>
            <w:right w:val="none" w:sz="0" w:space="0" w:color="auto"/>
          </w:divBdr>
        </w:div>
        <w:div w:id="164102267">
          <w:marLeft w:val="0"/>
          <w:marRight w:val="0"/>
          <w:marTop w:val="0"/>
          <w:marBottom w:val="0"/>
          <w:divBdr>
            <w:top w:val="none" w:sz="0" w:space="0" w:color="auto"/>
            <w:left w:val="none" w:sz="0" w:space="0" w:color="auto"/>
            <w:bottom w:val="none" w:sz="0" w:space="0" w:color="auto"/>
            <w:right w:val="none" w:sz="0" w:space="0" w:color="auto"/>
          </w:divBdr>
        </w:div>
        <w:div w:id="153684948">
          <w:marLeft w:val="0"/>
          <w:marRight w:val="0"/>
          <w:marTop w:val="0"/>
          <w:marBottom w:val="0"/>
          <w:divBdr>
            <w:top w:val="none" w:sz="0" w:space="0" w:color="auto"/>
            <w:left w:val="none" w:sz="0" w:space="0" w:color="auto"/>
            <w:bottom w:val="none" w:sz="0" w:space="0" w:color="auto"/>
            <w:right w:val="none" w:sz="0" w:space="0" w:color="auto"/>
          </w:divBdr>
        </w:div>
        <w:div w:id="1449814602">
          <w:marLeft w:val="0"/>
          <w:marRight w:val="0"/>
          <w:marTop w:val="0"/>
          <w:marBottom w:val="0"/>
          <w:divBdr>
            <w:top w:val="none" w:sz="0" w:space="0" w:color="auto"/>
            <w:left w:val="none" w:sz="0" w:space="0" w:color="auto"/>
            <w:bottom w:val="none" w:sz="0" w:space="0" w:color="auto"/>
            <w:right w:val="none" w:sz="0" w:space="0" w:color="auto"/>
          </w:divBdr>
        </w:div>
        <w:div w:id="1130321367">
          <w:marLeft w:val="0"/>
          <w:marRight w:val="0"/>
          <w:marTop w:val="0"/>
          <w:marBottom w:val="0"/>
          <w:divBdr>
            <w:top w:val="none" w:sz="0" w:space="0" w:color="auto"/>
            <w:left w:val="none" w:sz="0" w:space="0" w:color="auto"/>
            <w:bottom w:val="none" w:sz="0" w:space="0" w:color="auto"/>
            <w:right w:val="none" w:sz="0" w:space="0" w:color="auto"/>
          </w:divBdr>
        </w:div>
        <w:div w:id="1011637608">
          <w:marLeft w:val="0"/>
          <w:marRight w:val="0"/>
          <w:marTop w:val="0"/>
          <w:marBottom w:val="0"/>
          <w:divBdr>
            <w:top w:val="none" w:sz="0" w:space="0" w:color="auto"/>
            <w:left w:val="none" w:sz="0" w:space="0" w:color="auto"/>
            <w:bottom w:val="none" w:sz="0" w:space="0" w:color="auto"/>
            <w:right w:val="none" w:sz="0" w:space="0" w:color="auto"/>
          </w:divBdr>
        </w:div>
        <w:div w:id="2073039481">
          <w:marLeft w:val="0"/>
          <w:marRight w:val="0"/>
          <w:marTop w:val="0"/>
          <w:marBottom w:val="0"/>
          <w:divBdr>
            <w:top w:val="none" w:sz="0" w:space="0" w:color="auto"/>
            <w:left w:val="none" w:sz="0" w:space="0" w:color="auto"/>
            <w:bottom w:val="none" w:sz="0" w:space="0" w:color="auto"/>
            <w:right w:val="none" w:sz="0" w:space="0" w:color="auto"/>
          </w:divBdr>
        </w:div>
        <w:div w:id="967665040">
          <w:marLeft w:val="0"/>
          <w:marRight w:val="0"/>
          <w:marTop w:val="0"/>
          <w:marBottom w:val="0"/>
          <w:divBdr>
            <w:top w:val="none" w:sz="0" w:space="0" w:color="auto"/>
            <w:left w:val="none" w:sz="0" w:space="0" w:color="auto"/>
            <w:bottom w:val="none" w:sz="0" w:space="0" w:color="auto"/>
            <w:right w:val="none" w:sz="0" w:space="0" w:color="auto"/>
          </w:divBdr>
        </w:div>
        <w:div w:id="1845322140">
          <w:marLeft w:val="0"/>
          <w:marRight w:val="0"/>
          <w:marTop w:val="0"/>
          <w:marBottom w:val="0"/>
          <w:divBdr>
            <w:top w:val="none" w:sz="0" w:space="0" w:color="auto"/>
            <w:left w:val="none" w:sz="0" w:space="0" w:color="auto"/>
            <w:bottom w:val="none" w:sz="0" w:space="0" w:color="auto"/>
            <w:right w:val="none" w:sz="0" w:space="0" w:color="auto"/>
          </w:divBdr>
        </w:div>
        <w:div w:id="821392366">
          <w:marLeft w:val="0"/>
          <w:marRight w:val="0"/>
          <w:marTop w:val="0"/>
          <w:marBottom w:val="0"/>
          <w:divBdr>
            <w:top w:val="none" w:sz="0" w:space="0" w:color="auto"/>
            <w:left w:val="none" w:sz="0" w:space="0" w:color="auto"/>
            <w:bottom w:val="none" w:sz="0" w:space="0" w:color="auto"/>
            <w:right w:val="none" w:sz="0" w:space="0" w:color="auto"/>
          </w:divBdr>
        </w:div>
        <w:div w:id="787578654">
          <w:marLeft w:val="0"/>
          <w:marRight w:val="0"/>
          <w:marTop w:val="0"/>
          <w:marBottom w:val="0"/>
          <w:divBdr>
            <w:top w:val="none" w:sz="0" w:space="0" w:color="auto"/>
            <w:left w:val="none" w:sz="0" w:space="0" w:color="auto"/>
            <w:bottom w:val="none" w:sz="0" w:space="0" w:color="auto"/>
            <w:right w:val="none" w:sz="0" w:space="0" w:color="auto"/>
          </w:divBdr>
        </w:div>
        <w:div w:id="1632202181">
          <w:marLeft w:val="0"/>
          <w:marRight w:val="0"/>
          <w:marTop w:val="0"/>
          <w:marBottom w:val="0"/>
          <w:divBdr>
            <w:top w:val="none" w:sz="0" w:space="0" w:color="auto"/>
            <w:left w:val="none" w:sz="0" w:space="0" w:color="auto"/>
            <w:bottom w:val="none" w:sz="0" w:space="0" w:color="auto"/>
            <w:right w:val="none" w:sz="0" w:space="0" w:color="auto"/>
          </w:divBdr>
        </w:div>
        <w:div w:id="1517377588">
          <w:marLeft w:val="0"/>
          <w:marRight w:val="0"/>
          <w:marTop w:val="0"/>
          <w:marBottom w:val="0"/>
          <w:divBdr>
            <w:top w:val="none" w:sz="0" w:space="0" w:color="auto"/>
            <w:left w:val="none" w:sz="0" w:space="0" w:color="auto"/>
            <w:bottom w:val="none" w:sz="0" w:space="0" w:color="auto"/>
            <w:right w:val="none" w:sz="0" w:space="0" w:color="auto"/>
          </w:divBdr>
        </w:div>
        <w:div w:id="2016764538">
          <w:marLeft w:val="0"/>
          <w:marRight w:val="0"/>
          <w:marTop w:val="0"/>
          <w:marBottom w:val="0"/>
          <w:divBdr>
            <w:top w:val="none" w:sz="0" w:space="0" w:color="auto"/>
            <w:left w:val="none" w:sz="0" w:space="0" w:color="auto"/>
            <w:bottom w:val="none" w:sz="0" w:space="0" w:color="auto"/>
            <w:right w:val="none" w:sz="0" w:space="0" w:color="auto"/>
          </w:divBdr>
        </w:div>
        <w:div w:id="2005625635">
          <w:marLeft w:val="0"/>
          <w:marRight w:val="0"/>
          <w:marTop w:val="0"/>
          <w:marBottom w:val="0"/>
          <w:divBdr>
            <w:top w:val="none" w:sz="0" w:space="0" w:color="auto"/>
            <w:left w:val="none" w:sz="0" w:space="0" w:color="auto"/>
            <w:bottom w:val="none" w:sz="0" w:space="0" w:color="auto"/>
            <w:right w:val="none" w:sz="0" w:space="0" w:color="auto"/>
          </w:divBdr>
        </w:div>
        <w:div w:id="1043674427">
          <w:marLeft w:val="0"/>
          <w:marRight w:val="0"/>
          <w:marTop w:val="0"/>
          <w:marBottom w:val="0"/>
          <w:divBdr>
            <w:top w:val="none" w:sz="0" w:space="0" w:color="auto"/>
            <w:left w:val="none" w:sz="0" w:space="0" w:color="auto"/>
            <w:bottom w:val="none" w:sz="0" w:space="0" w:color="auto"/>
            <w:right w:val="none" w:sz="0" w:space="0" w:color="auto"/>
          </w:divBdr>
        </w:div>
        <w:div w:id="690255500">
          <w:marLeft w:val="0"/>
          <w:marRight w:val="0"/>
          <w:marTop w:val="0"/>
          <w:marBottom w:val="0"/>
          <w:divBdr>
            <w:top w:val="none" w:sz="0" w:space="0" w:color="auto"/>
            <w:left w:val="none" w:sz="0" w:space="0" w:color="auto"/>
            <w:bottom w:val="none" w:sz="0" w:space="0" w:color="auto"/>
            <w:right w:val="none" w:sz="0" w:space="0" w:color="auto"/>
          </w:divBdr>
        </w:div>
        <w:div w:id="48001652">
          <w:marLeft w:val="0"/>
          <w:marRight w:val="0"/>
          <w:marTop w:val="0"/>
          <w:marBottom w:val="0"/>
          <w:divBdr>
            <w:top w:val="none" w:sz="0" w:space="0" w:color="auto"/>
            <w:left w:val="none" w:sz="0" w:space="0" w:color="auto"/>
            <w:bottom w:val="none" w:sz="0" w:space="0" w:color="auto"/>
            <w:right w:val="none" w:sz="0" w:space="0" w:color="auto"/>
          </w:divBdr>
        </w:div>
        <w:div w:id="1999914509">
          <w:marLeft w:val="0"/>
          <w:marRight w:val="0"/>
          <w:marTop w:val="0"/>
          <w:marBottom w:val="0"/>
          <w:divBdr>
            <w:top w:val="none" w:sz="0" w:space="0" w:color="auto"/>
            <w:left w:val="none" w:sz="0" w:space="0" w:color="auto"/>
            <w:bottom w:val="none" w:sz="0" w:space="0" w:color="auto"/>
            <w:right w:val="none" w:sz="0" w:space="0" w:color="auto"/>
          </w:divBdr>
        </w:div>
        <w:div w:id="1949775483">
          <w:marLeft w:val="0"/>
          <w:marRight w:val="0"/>
          <w:marTop w:val="0"/>
          <w:marBottom w:val="0"/>
          <w:divBdr>
            <w:top w:val="none" w:sz="0" w:space="0" w:color="auto"/>
            <w:left w:val="none" w:sz="0" w:space="0" w:color="auto"/>
            <w:bottom w:val="none" w:sz="0" w:space="0" w:color="auto"/>
            <w:right w:val="none" w:sz="0" w:space="0" w:color="auto"/>
          </w:divBdr>
        </w:div>
        <w:div w:id="556665094">
          <w:marLeft w:val="0"/>
          <w:marRight w:val="0"/>
          <w:marTop w:val="0"/>
          <w:marBottom w:val="0"/>
          <w:divBdr>
            <w:top w:val="none" w:sz="0" w:space="0" w:color="auto"/>
            <w:left w:val="none" w:sz="0" w:space="0" w:color="auto"/>
            <w:bottom w:val="none" w:sz="0" w:space="0" w:color="auto"/>
            <w:right w:val="none" w:sz="0" w:space="0" w:color="auto"/>
          </w:divBdr>
        </w:div>
        <w:div w:id="1198393779">
          <w:marLeft w:val="0"/>
          <w:marRight w:val="0"/>
          <w:marTop w:val="0"/>
          <w:marBottom w:val="0"/>
          <w:divBdr>
            <w:top w:val="none" w:sz="0" w:space="0" w:color="auto"/>
            <w:left w:val="none" w:sz="0" w:space="0" w:color="auto"/>
            <w:bottom w:val="none" w:sz="0" w:space="0" w:color="auto"/>
            <w:right w:val="none" w:sz="0" w:space="0" w:color="auto"/>
          </w:divBdr>
        </w:div>
        <w:div w:id="500894687">
          <w:marLeft w:val="0"/>
          <w:marRight w:val="0"/>
          <w:marTop w:val="0"/>
          <w:marBottom w:val="0"/>
          <w:divBdr>
            <w:top w:val="none" w:sz="0" w:space="0" w:color="auto"/>
            <w:left w:val="none" w:sz="0" w:space="0" w:color="auto"/>
            <w:bottom w:val="none" w:sz="0" w:space="0" w:color="auto"/>
            <w:right w:val="none" w:sz="0" w:space="0" w:color="auto"/>
          </w:divBdr>
        </w:div>
        <w:div w:id="1713577649">
          <w:marLeft w:val="0"/>
          <w:marRight w:val="0"/>
          <w:marTop w:val="0"/>
          <w:marBottom w:val="0"/>
          <w:divBdr>
            <w:top w:val="none" w:sz="0" w:space="0" w:color="auto"/>
            <w:left w:val="none" w:sz="0" w:space="0" w:color="auto"/>
            <w:bottom w:val="none" w:sz="0" w:space="0" w:color="auto"/>
            <w:right w:val="none" w:sz="0" w:space="0" w:color="auto"/>
          </w:divBdr>
        </w:div>
        <w:div w:id="24673914">
          <w:marLeft w:val="0"/>
          <w:marRight w:val="0"/>
          <w:marTop w:val="0"/>
          <w:marBottom w:val="0"/>
          <w:divBdr>
            <w:top w:val="none" w:sz="0" w:space="0" w:color="auto"/>
            <w:left w:val="none" w:sz="0" w:space="0" w:color="auto"/>
            <w:bottom w:val="none" w:sz="0" w:space="0" w:color="auto"/>
            <w:right w:val="none" w:sz="0" w:space="0" w:color="auto"/>
          </w:divBdr>
        </w:div>
        <w:div w:id="838538541">
          <w:marLeft w:val="0"/>
          <w:marRight w:val="0"/>
          <w:marTop w:val="0"/>
          <w:marBottom w:val="0"/>
          <w:divBdr>
            <w:top w:val="none" w:sz="0" w:space="0" w:color="auto"/>
            <w:left w:val="none" w:sz="0" w:space="0" w:color="auto"/>
            <w:bottom w:val="none" w:sz="0" w:space="0" w:color="auto"/>
            <w:right w:val="none" w:sz="0" w:space="0" w:color="auto"/>
          </w:divBdr>
        </w:div>
        <w:div w:id="1633093178">
          <w:marLeft w:val="0"/>
          <w:marRight w:val="0"/>
          <w:marTop w:val="0"/>
          <w:marBottom w:val="0"/>
          <w:divBdr>
            <w:top w:val="none" w:sz="0" w:space="0" w:color="auto"/>
            <w:left w:val="none" w:sz="0" w:space="0" w:color="auto"/>
            <w:bottom w:val="none" w:sz="0" w:space="0" w:color="auto"/>
            <w:right w:val="none" w:sz="0" w:space="0" w:color="auto"/>
          </w:divBdr>
        </w:div>
        <w:div w:id="1953828480">
          <w:marLeft w:val="0"/>
          <w:marRight w:val="0"/>
          <w:marTop w:val="0"/>
          <w:marBottom w:val="0"/>
          <w:divBdr>
            <w:top w:val="none" w:sz="0" w:space="0" w:color="auto"/>
            <w:left w:val="none" w:sz="0" w:space="0" w:color="auto"/>
            <w:bottom w:val="none" w:sz="0" w:space="0" w:color="auto"/>
            <w:right w:val="none" w:sz="0" w:space="0" w:color="auto"/>
          </w:divBdr>
        </w:div>
        <w:div w:id="1274290944">
          <w:marLeft w:val="0"/>
          <w:marRight w:val="0"/>
          <w:marTop w:val="0"/>
          <w:marBottom w:val="0"/>
          <w:divBdr>
            <w:top w:val="none" w:sz="0" w:space="0" w:color="auto"/>
            <w:left w:val="none" w:sz="0" w:space="0" w:color="auto"/>
            <w:bottom w:val="none" w:sz="0" w:space="0" w:color="auto"/>
            <w:right w:val="none" w:sz="0" w:space="0" w:color="auto"/>
          </w:divBdr>
        </w:div>
        <w:div w:id="989138048">
          <w:marLeft w:val="0"/>
          <w:marRight w:val="0"/>
          <w:marTop w:val="0"/>
          <w:marBottom w:val="0"/>
          <w:divBdr>
            <w:top w:val="none" w:sz="0" w:space="0" w:color="auto"/>
            <w:left w:val="none" w:sz="0" w:space="0" w:color="auto"/>
            <w:bottom w:val="none" w:sz="0" w:space="0" w:color="auto"/>
            <w:right w:val="none" w:sz="0" w:space="0" w:color="auto"/>
          </w:divBdr>
        </w:div>
        <w:div w:id="390273611">
          <w:marLeft w:val="0"/>
          <w:marRight w:val="0"/>
          <w:marTop w:val="0"/>
          <w:marBottom w:val="0"/>
          <w:divBdr>
            <w:top w:val="none" w:sz="0" w:space="0" w:color="auto"/>
            <w:left w:val="none" w:sz="0" w:space="0" w:color="auto"/>
            <w:bottom w:val="none" w:sz="0" w:space="0" w:color="auto"/>
            <w:right w:val="none" w:sz="0" w:space="0" w:color="auto"/>
          </w:divBdr>
        </w:div>
        <w:div w:id="1013729192">
          <w:marLeft w:val="0"/>
          <w:marRight w:val="0"/>
          <w:marTop w:val="0"/>
          <w:marBottom w:val="0"/>
          <w:divBdr>
            <w:top w:val="none" w:sz="0" w:space="0" w:color="auto"/>
            <w:left w:val="none" w:sz="0" w:space="0" w:color="auto"/>
            <w:bottom w:val="none" w:sz="0" w:space="0" w:color="auto"/>
            <w:right w:val="none" w:sz="0" w:space="0" w:color="auto"/>
          </w:divBdr>
        </w:div>
        <w:div w:id="562719712">
          <w:marLeft w:val="0"/>
          <w:marRight w:val="0"/>
          <w:marTop w:val="0"/>
          <w:marBottom w:val="0"/>
          <w:divBdr>
            <w:top w:val="none" w:sz="0" w:space="0" w:color="auto"/>
            <w:left w:val="none" w:sz="0" w:space="0" w:color="auto"/>
            <w:bottom w:val="none" w:sz="0" w:space="0" w:color="auto"/>
            <w:right w:val="none" w:sz="0" w:space="0" w:color="auto"/>
          </w:divBdr>
        </w:div>
        <w:div w:id="197157741">
          <w:marLeft w:val="0"/>
          <w:marRight w:val="0"/>
          <w:marTop w:val="0"/>
          <w:marBottom w:val="0"/>
          <w:divBdr>
            <w:top w:val="none" w:sz="0" w:space="0" w:color="auto"/>
            <w:left w:val="none" w:sz="0" w:space="0" w:color="auto"/>
            <w:bottom w:val="none" w:sz="0" w:space="0" w:color="auto"/>
            <w:right w:val="none" w:sz="0" w:space="0" w:color="auto"/>
          </w:divBdr>
        </w:div>
        <w:div w:id="1701856320">
          <w:marLeft w:val="0"/>
          <w:marRight w:val="0"/>
          <w:marTop w:val="0"/>
          <w:marBottom w:val="0"/>
          <w:divBdr>
            <w:top w:val="none" w:sz="0" w:space="0" w:color="auto"/>
            <w:left w:val="none" w:sz="0" w:space="0" w:color="auto"/>
            <w:bottom w:val="none" w:sz="0" w:space="0" w:color="auto"/>
            <w:right w:val="none" w:sz="0" w:space="0" w:color="auto"/>
          </w:divBdr>
        </w:div>
        <w:div w:id="1885874390">
          <w:marLeft w:val="0"/>
          <w:marRight w:val="0"/>
          <w:marTop w:val="0"/>
          <w:marBottom w:val="0"/>
          <w:divBdr>
            <w:top w:val="none" w:sz="0" w:space="0" w:color="auto"/>
            <w:left w:val="none" w:sz="0" w:space="0" w:color="auto"/>
            <w:bottom w:val="none" w:sz="0" w:space="0" w:color="auto"/>
            <w:right w:val="none" w:sz="0" w:space="0" w:color="auto"/>
          </w:divBdr>
        </w:div>
        <w:div w:id="788167622">
          <w:marLeft w:val="0"/>
          <w:marRight w:val="0"/>
          <w:marTop w:val="0"/>
          <w:marBottom w:val="0"/>
          <w:divBdr>
            <w:top w:val="none" w:sz="0" w:space="0" w:color="auto"/>
            <w:left w:val="none" w:sz="0" w:space="0" w:color="auto"/>
            <w:bottom w:val="none" w:sz="0" w:space="0" w:color="auto"/>
            <w:right w:val="none" w:sz="0" w:space="0" w:color="auto"/>
          </w:divBdr>
        </w:div>
        <w:div w:id="176040192">
          <w:marLeft w:val="0"/>
          <w:marRight w:val="0"/>
          <w:marTop w:val="0"/>
          <w:marBottom w:val="0"/>
          <w:divBdr>
            <w:top w:val="none" w:sz="0" w:space="0" w:color="auto"/>
            <w:left w:val="none" w:sz="0" w:space="0" w:color="auto"/>
            <w:bottom w:val="none" w:sz="0" w:space="0" w:color="auto"/>
            <w:right w:val="none" w:sz="0" w:space="0" w:color="auto"/>
          </w:divBdr>
        </w:div>
        <w:div w:id="2118602904">
          <w:marLeft w:val="0"/>
          <w:marRight w:val="0"/>
          <w:marTop w:val="0"/>
          <w:marBottom w:val="0"/>
          <w:divBdr>
            <w:top w:val="none" w:sz="0" w:space="0" w:color="auto"/>
            <w:left w:val="none" w:sz="0" w:space="0" w:color="auto"/>
            <w:bottom w:val="none" w:sz="0" w:space="0" w:color="auto"/>
            <w:right w:val="none" w:sz="0" w:space="0" w:color="auto"/>
          </w:divBdr>
        </w:div>
        <w:div w:id="1873109187">
          <w:marLeft w:val="0"/>
          <w:marRight w:val="0"/>
          <w:marTop w:val="0"/>
          <w:marBottom w:val="0"/>
          <w:divBdr>
            <w:top w:val="none" w:sz="0" w:space="0" w:color="auto"/>
            <w:left w:val="none" w:sz="0" w:space="0" w:color="auto"/>
            <w:bottom w:val="none" w:sz="0" w:space="0" w:color="auto"/>
            <w:right w:val="none" w:sz="0" w:space="0" w:color="auto"/>
          </w:divBdr>
        </w:div>
        <w:div w:id="1306619753">
          <w:marLeft w:val="0"/>
          <w:marRight w:val="0"/>
          <w:marTop w:val="0"/>
          <w:marBottom w:val="0"/>
          <w:divBdr>
            <w:top w:val="none" w:sz="0" w:space="0" w:color="auto"/>
            <w:left w:val="none" w:sz="0" w:space="0" w:color="auto"/>
            <w:bottom w:val="none" w:sz="0" w:space="0" w:color="auto"/>
            <w:right w:val="none" w:sz="0" w:space="0" w:color="auto"/>
          </w:divBdr>
        </w:div>
        <w:div w:id="1006127784">
          <w:marLeft w:val="0"/>
          <w:marRight w:val="0"/>
          <w:marTop w:val="0"/>
          <w:marBottom w:val="0"/>
          <w:divBdr>
            <w:top w:val="none" w:sz="0" w:space="0" w:color="auto"/>
            <w:left w:val="none" w:sz="0" w:space="0" w:color="auto"/>
            <w:bottom w:val="none" w:sz="0" w:space="0" w:color="auto"/>
            <w:right w:val="none" w:sz="0" w:space="0" w:color="auto"/>
          </w:divBdr>
        </w:div>
        <w:div w:id="1073822113">
          <w:marLeft w:val="0"/>
          <w:marRight w:val="0"/>
          <w:marTop w:val="0"/>
          <w:marBottom w:val="0"/>
          <w:divBdr>
            <w:top w:val="none" w:sz="0" w:space="0" w:color="auto"/>
            <w:left w:val="none" w:sz="0" w:space="0" w:color="auto"/>
            <w:bottom w:val="none" w:sz="0" w:space="0" w:color="auto"/>
            <w:right w:val="none" w:sz="0" w:space="0" w:color="auto"/>
          </w:divBdr>
        </w:div>
        <w:div w:id="1999377665">
          <w:marLeft w:val="0"/>
          <w:marRight w:val="0"/>
          <w:marTop w:val="0"/>
          <w:marBottom w:val="0"/>
          <w:divBdr>
            <w:top w:val="none" w:sz="0" w:space="0" w:color="auto"/>
            <w:left w:val="none" w:sz="0" w:space="0" w:color="auto"/>
            <w:bottom w:val="none" w:sz="0" w:space="0" w:color="auto"/>
            <w:right w:val="none" w:sz="0" w:space="0" w:color="auto"/>
          </w:divBdr>
        </w:div>
        <w:div w:id="1164971314">
          <w:marLeft w:val="0"/>
          <w:marRight w:val="0"/>
          <w:marTop w:val="0"/>
          <w:marBottom w:val="0"/>
          <w:divBdr>
            <w:top w:val="none" w:sz="0" w:space="0" w:color="auto"/>
            <w:left w:val="none" w:sz="0" w:space="0" w:color="auto"/>
            <w:bottom w:val="none" w:sz="0" w:space="0" w:color="auto"/>
            <w:right w:val="none" w:sz="0" w:space="0" w:color="auto"/>
          </w:divBdr>
        </w:div>
        <w:div w:id="1183516177">
          <w:marLeft w:val="0"/>
          <w:marRight w:val="0"/>
          <w:marTop w:val="0"/>
          <w:marBottom w:val="0"/>
          <w:divBdr>
            <w:top w:val="none" w:sz="0" w:space="0" w:color="auto"/>
            <w:left w:val="none" w:sz="0" w:space="0" w:color="auto"/>
            <w:bottom w:val="none" w:sz="0" w:space="0" w:color="auto"/>
            <w:right w:val="none" w:sz="0" w:space="0" w:color="auto"/>
          </w:divBdr>
        </w:div>
        <w:div w:id="1149203358">
          <w:marLeft w:val="0"/>
          <w:marRight w:val="0"/>
          <w:marTop w:val="0"/>
          <w:marBottom w:val="0"/>
          <w:divBdr>
            <w:top w:val="none" w:sz="0" w:space="0" w:color="auto"/>
            <w:left w:val="none" w:sz="0" w:space="0" w:color="auto"/>
            <w:bottom w:val="none" w:sz="0" w:space="0" w:color="auto"/>
            <w:right w:val="none" w:sz="0" w:space="0" w:color="auto"/>
          </w:divBdr>
        </w:div>
        <w:div w:id="273174116">
          <w:marLeft w:val="0"/>
          <w:marRight w:val="0"/>
          <w:marTop w:val="0"/>
          <w:marBottom w:val="0"/>
          <w:divBdr>
            <w:top w:val="none" w:sz="0" w:space="0" w:color="auto"/>
            <w:left w:val="none" w:sz="0" w:space="0" w:color="auto"/>
            <w:bottom w:val="none" w:sz="0" w:space="0" w:color="auto"/>
            <w:right w:val="none" w:sz="0" w:space="0" w:color="auto"/>
          </w:divBdr>
        </w:div>
        <w:div w:id="1734111663">
          <w:marLeft w:val="0"/>
          <w:marRight w:val="0"/>
          <w:marTop w:val="0"/>
          <w:marBottom w:val="0"/>
          <w:divBdr>
            <w:top w:val="none" w:sz="0" w:space="0" w:color="auto"/>
            <w:left w:val="none" w:sz="0" w:space="0" w:color="auto"/>
            <w:bottom w:val="none" w:sz="0" w:space="0" w:color="auto"/>
            <w:right w:val="none" w:sz="0" w:space="0" w:color="auto"/>
          </w:divBdr>
        </w:div>
      </w:divsChild>
    </w:div>
    <w:div w:id="1623657803">
      <w:bodyDiv w:val="1"/>
      <w:marLeft w:val="0"/>
      <w:marRight w:val="0"/>
      <w:marTop w:val="0"/>
      <w:marBottom w:val="0"/>
      <w:divBdr>
        <w:top w:val="none" w:sz="0" w:space="0" w:color="auto"/>
        <w:left w:val="none" w:sz="0" w:space="0" w:color="auto"/>
        <w:bottom w:val="none" w:sz="0" w:space="0" w:color="auto"/>
        <w:right w:val="none" w:sz="0" w:space="0" w:color="auto"/>
      </w:divBdr>
    </w:div>
    <w:div w:id="1653363601">
      <w:bodyDiv w:val="1"/>
      <w:marLeft w:val="0"/>
      <w:marRight w:val="0"/>
      <w:marTop w:val="0"/>
      <w:marBottom w:val="0"/>
      <w:divBdr>
        <w:top w:val="none" w:sz="0" w:space="0" w:color="auto"/>
        <w:left w:val="none" w:sz="0" w:space="0" w:color="auto"/>
        <w:bottom w:val="none" w:sz="0" w:space="0" w:color="auto"/>
        <w:right w:val="none" w:sz="0" w:space="0" w:color="auto"/>
      </w:divBdr>
      <w:divsChild>
        <w:div w:id="2076008157">
          <w:marLeft w:val="0"/>
          <w:marRight w:val="0"/>
          <w:marTop w:val="0"/>
          <w:marBottom w:val="0"/>
          <w:divBdr>
            <w:top w:val="none" w:sz="0" w:space="0" w:color="auto"/>
            <w:left w:val="none" w:sz="0" w:space="0" w:color="auto"/>
            <w:bottom w:val="none" w:sz="0" w:space="0" w:color="auto"/>
            <w:right w:val="none" w:sz="0" w:space="0" w:color="auto"/>
          </w:divBdr>
        </w:div>
        <w:div w:id="2026051224">
          <w:marLeft w:val="0"/>
          <w:marRight w:val="0"/>
          <w:marTop w:val="0"/>
          <w:marBottom w:val="0"/>
          <w:divBdr>
            <w:top w:val="none" w:sz="0" w:space="0" w:color="auto"/>
            <w:left w:val="none" w:sz="0" w:space="0" w:color="auto"/>
            <w:bottom w:val="none" w:sz="0" w:space="0" w:color="auto"/>
            <w:right w:val="none" w:sz="0" w:space="0" w:color="auto"/>
          </w:divBdr>
        </w:div>
        <w:div w:id="1414425109">
          <w:marLeft w:val="0"/>
          <w:marRight w:val="0"/>
          <w:marTop w:val="0"/>
          <w:marBottom w:val="0"/>
          <w:divBdr>
            <w:top w:val="none" w:sz="0" w:space="0" w:color="auto"/>
            <w:left w:val="none" w:sz="0" w:space="0" w:color="auto"/>
            <w:bottom w:val="none" w:sz="0" w:space="0" w:color="auto"/>
            <w:right w:val="none" w:sz="0" w:space="0" w:color="auto"/>
          </w:divBdr>
        </w:div>
        <w:div w:id="1205800091">
          <w:marLeft w:val="0"/>
          <w:marRight w:val="0"/>
          <w:marTop w:val="0"/>
          <w:marBottom w:val="0"/>
          <w:divBdr>
            <w:top w:val="none" w:sz="0" w:space="0" w:color="auto"/>
            <w:left w:val="none" w:sz="0" w:space="0" w:color="auto"/>
            <w:bottom w:val="none" w:sz="0" w:space="0" w:color="auto"/>
            <w:right w:val="none" w:sz="0" w:space="0" w:color="auto"/>
          </w:divBdr>
        </w:div>
        <w:div w:id="722679398">
          <w:marLeft w:val="0"/>
          <w:marRight w:val="0"/>
          <w:marTop w:val="0"/>
          <w:marBottom w:val="0"/>
          <w:divBdr>
            <w:top w:val="none" w:sz="0" w:space="0" w:color="auto"/>
            <w:left w:val="none" w:sz="0" w:space="0" w:color="auto"/>
            <w:bottom w:val="none" w:sz="0" w:space="0" w:color="auto"/>
            <w:right w:val="none" w:sz="0" w:space="0" w:color="auto"/>
          </w:divBdr>
        </w:div>
        <w:div w:id="1954052786">
          <w:marLeft w:val="0"/>
          <w:marRight w:val="0"/>
          <w:marTop w:val="0"/>
          <w:marBottom w:val="0"/>
          <w:divBdr>
            <w:top w:val="none" w:sz="0" w:space="0" w:color="auto"/>
            <w:left w:val="none" w:sz="0" w:space="0" w:color="auto"/>
            <w:bottom w:val="none" w:sz="0" w:space="0" w:color="auto"/>
            <w:right w:val="none" w:sz="0" w:space="0" w:color="auto"/>
          </w:divBdr>
        </w:div>
        <w:div w:id="708646963">
          <w:marLeft w:val="0"/>
          <w:marRight w:val="0"/>
          <w:marTop w:val="0"/>
          <w:marBottom w:val="0"/>
          <w:divBdr>
            <w:top w:val="none" w:sz="0" w:space="0" w:color="auto"/>
            <w:left w:val="none" w:sz="0" w:space="0" w:color="auto"/>
            <w:bottom w:val="none" w:sz="0" w:space="0" w:color="auto"/>
            <w:right w:val="none" w:sz="0" w:space="0" w:color="auto"/>
          </w:divBdr>
        </w:div>
        <w:div w:id="1760788161">
          <w:marLeft w:val="0"/>
          <w:marRight w:val="0"/>
          <w:marTop w:val="0"/>
          <w:marBottom w:val="0"/>
          <w:divBdr>
            <w:top w:val="none" w:sz="0" w:space="0" w:color="auto"/>
            <w:left w:val="none" w:sz="0" w:space="0" w:color="auto"/>
            <w:bottom w:val="none" w:sz="0" w:space="0" w:color="auto"/>
            <w:right w:val="none" w:sz="0" w:space="0" w:color="auto"/>
          </w:divBdr>
        </w:div>
        <w:div w:id="1530487611">
          <w:marLeft w:val="0"/>
          <w:marRight w:val="0"/>
          <w:marTop w:val="0"/>
          <w:marBottom w:val="0"/>
          <w:divBdr>
            <w:top w:val="none" w:sz="0" w:space="0" w:color="auto"/>
            <w:left w:val="none" w:sz="0" w:space="0" w:color="auto"/>
            <w:bottom w:val="none" w:sz="0" w:space="0" w:color="auto"/>
            <w:right w:val="none" w:sz="0" w:space="0" w:color="auto"/>
          </w:divBdr>
        </w:div>
        <w:div w:id="2117094555">
          <w:marLeft w:val="0"/>
          <w:marRight w:val="0"/>
          <w:marTop w:val="0"/>
          <w:marBottom w:val="0"/>
          <w:divBdr>
            <w:top w:val="none" w:sz="0" w:space="0" w:color="auto"/>
            <w:left w:val="none" w:sz="0" w:space="0" w:color="auto"/>
            <w:bottom w:val="none" w:sz="0" w:space="0" w:color="auto"/>
            <w:right w:val="none" w:sz="0" w:space="0" w:color="auto"/>
          </w:divBdr>
        </w:div>
        <w:div w:id="1803960152">
          <w:marLeft w:val="0"/>
          <w:marRight w:val="0"/>
          <w:marTop w:val="0"/>
          <w:marBottom w:val="0"/>
          <w:divBdr>
            <w:top w:val="none" w:sz="0" w:space="0" w:color="auto"/>
            <w:left w:val="none" w:sz="0" w:space="0" w:color="auto"/>
            <w:bottom w:val="none" w:sz="0" w:space="0" w:color="auto"/>
            <w:right w:val="none" w:sz="0" w:space="0" w:color="auto"/>
          </w:divBdr>
        </w:div>
        <w:div w:id="973292561">
          <w:marLeft w:val="0"/>
          <w:marRight w:val="0"/>
          <w:marTop w:val="0"/>
          <w:marBottom w:val="0"/>
          <w:divBdr>
            <w:top w:val="none" w:sz="0" w:space="0" w:color="auto"/>
            <w:left w:val="none" w:sz="0" w:space="0" w:color="auto"/>
            <w:bottom w:val="none" w:sz="0" w:space="0" w:color="auto"/>
            <w:right w:val="none" w:sz="0" w:space="0" w:color="auto"/>
          </w:divBdr>
        </w:div>
      </w:divsChild>
    </w:div>
    <w:div w:id="1839612328">
      <w:bodyDiv w:val="1"/>
      <w:marLeft w:val="0"/>
      <w:marRight w:val="0"/>
      <w:marTop w:val="0"/>
      <w:marBottom w:val="0"/>
      <w:divBdr>
        <w:top w:val="none" w:sz="0" w:space="0" w:color="auto"/>
        <w:left w:val="none" w:sz="0" w:space="0" w:color="auto"/>
        <w:bottom w:val="none" w:sz="0" w:space="0" w:color="auto"/>
        <w:right w:val="none" w:sz="0" w:space="0" w:color="auto"/>
      </w:divBdr>
    </w:div>
    <w:div w:id="18668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egulations.gov/" TargetMode="External"/><Relationship Id="rId7" Type="http://schemas.openxmlformats.org/officeDocument/2006/relationships/hyperlink" Target="http://www.regulations.gov/"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cpuc.ca.gov/PUC/energy/Renewables/" TargetMode="External"/><Relationship Id="rId5" Type="http://schemas.openxmlformats.org/officeDocument/2006/relationships/hyperlink" Target="http://energyalmanac.ca.gov/electricity/web_qfer/Heat_Rates.php" TargetMode="External"/><Relationship Id="rId4" Type="http://schemas.openxmlformats.org/officeDocument/2006/relationships/hyperlink" Target="http://www.eia.gov/forecasts/a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C1D6B-6893-4DAD-9AD1-E2BCCF27F430}"/>
</file>

<file path=customXml/itemProps2.xml><?xml version="1.0" encoding="utf-8"?>
<ds:datastoreItem xmlns:ds="http://schemas.openxmlformats.org/officeDocument/2006/customXml" ds:itemID="{C04FFE47-FDBE-4660-B354-3D658709F751}"/>
</file>

<file path=customXml/itemProps3.xml><?xml version="1.0" encoding="utf-8"?>
<ds:datastoreItem xmlns:ds="http://schemas.openxmlformats.org/officeDocument/2006/customXml" ds:itemID="{32C751B1-5EDF-4B8A-8543-41009325E4B6}"/>
</file>

<file path=customXml/itemProps4.xml><?xml version="1.0" encoding="utf-8"?>
<ds:datastoreItem xmlns:ds="http://schemas.openxmlformats.org/officeDocument/2006/customXml" ds:itemID="{6863FAB2-28C3-4C98-94D6-8286ECAA5F85}"/>
</file>

<file path=docProps/app.xml><?xml version="1.0" encoding="utf-8"?>
<Properties xmlns="http://schemas.openxmlformats.org/officeDocument/2006/extended-properties" xmlns:vt="http://schemas.openxmlformats.org/officeDocument/2006/docPropsVTypes">
  <Template>Normal.dotm</Template>
  <TotalTime>301</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Farahmand, Farhad</dc:creator>
  <cp:lastModifiedBy>Marshall B. Hunt</cp:lastModifiedBy>
  <cp:revision>6</cp:revision>
  <cp:lastPrinted>2015-03-20T00:26:00Z</cp:lastPrinted>
  <dcterms:created xsi:type="dcterms:W3CDTF">2015-07-01T00:11:00Z</dcterms:created>
  <dcterms:modified xsi:type="dcterms:W3CDTF">2015-07-06T00:31:00Z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