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C1" w:rsidRPr="00313A2D" w:rsidRDefault="002932C1" w:rsidP="002932C1">
      <w:pPr>
        <w:autoSpaceDE w:val="0"/>
        <w:autoSpaceDN w:val="0"/>
        <w:adjustRightInd w:val="0"/>
        <w:jc w:val="center"/>
        <w:rPr>
          <w:b/>
        </w:rPr>
      </w:pPr>
      <w:r w:rsidRPr="00313A2D">
        <w:rPr>
          <w:b/>
        </w:rPr>
        <w:t>DOE Test Procedure NOPR</w:t>
      </w:r>
    </w:p>
    <w:p w:rsidR="002932C1" w:rsidRPr="00313A2D" w:rsidRDefault="002932C1" w:rsidP="002932C1">
      <w:pPr>
        <w:autoSpaceDE w:val="0"/>
        <w:autoSpaceDN w:val="0"/>
        <w:adjustRightInd w:val="0"/>
        <w:jc w:val="center"/>
        <w:rPr>
          <w:b/>
        </w:rPr>
      </w:pPr>
      <w:r w:rsidRPr="00313A2D">
        <w:rPr>
          <w:b/>
        </w:rPr>
        <w:t>Test Procedures for Residential Furnace Fans</w:t>
      </w:r>
    </w:p>
    <w:p w:rsidR="002932C1" w:rsidRPr="00313A2D" w:rsidRDefault="002932C1" w:rsidP="002932C1">
      <w:pPr>
        <w:autoSpaceDE w:val="0"/>
        <w:autoSpaceDN w:val="0"/>
        <w:adjustRightInd w:val="0"/>
        <w:rPr>
          <w:b/>
        </w:rPr>
      </w:pPr>
    </w:p>
    <w:p w:rsidR="002932C1" w:rsidRPr="00313A2D" w:rsidRDefault="002932C1" w:rsidP="002932C1">
      <w:pPr>
        <w:autoSpaceDE w:val="0"/>
        <w:autoSpaceDN w:val="0"/>
        <w:adjustRightInd w:val="0"/>
        <w:rPr>
          <w:b/>
        </w:rPr>
      </w:pPr>
      <w:r w:rsidRPr="00313A2D">
        <w:rPr>
          <w:b/>
        </w:rPr>
        <w:t xml:space="preserve">NOPR: </w:t>
      </w:r>
      <w:hyperlink r:id="rId6" w:history="1">
        <w:r w:rsidRPr="00313A2D">
          <w:rPr>
            <w:rStyle w:val="Hyperlink"/>
          </w:rPr>
          <w:t>http://www.gpo.gov/fdsys/pkg/FR-2012-05-15/pdf/2012-10993.pdf</w:t>
        </w:r>
      </w:hyperlink>
    </w:p>
    <w:p w:rsidR="00BB373D" w:rsidRPr="00313A2D" w:rsidRDefault="00BB373D"/>
    <w:p w:rsidR="002932C1" w:rsidRDefault="002932C1" w:rsidP="002932C1">
      <w:pPr>
        <w:rPr>
          <w:b/>
        </w:rPr>
      </w:pPr>
      <w:r w:rsidRPr="00532865">
        <w:rPr>
          <w:b/>
        </w:rPr>
        <w:t>Comments to improve Test Procedure:</w:t>
      </w:r>
    </w:p>
    <w:p w:rsidR="00532865" w:rsidRPr="00532865" w:rsidRDefault="00532865" w:rsidP="002932C1">
      <w:pPr>
        <w:rPr>
          <w:b/>
        </w:rPr>
      </w:pPr>
    </w:p>
    <w:p w:rsidR="002932C1" w:rsidRDefault="002932C1" w:rsidP="002932C1"/>
    <w:p w:rsidR="00B875CF" w:rsidRPr="00A977AC" w:rsidRDefault="002932C1" w:rsidP="00A977AC">
      <w:pPr>
        <w:pStyle w:val="ListParagraph"/>
        <w:numPr>
          <w:ilvl w:val="0"/>
          <w:numId w:val="5"/>
        </w:numPr>
        <w:rPr>
          <w:b/>
        </w:rPr>
      </w:pPr>
      <w:r w:rsidRPr="00A977AC">
        <w:rPr>
          <w:b/>
        </w:rPr>
        <w:t xml:space="preserve">Cabinet effects such as </w:t>
      </w:r>
      <w:r w:rsidR="00C47A1A">
        <w:rPr>
          <w:b/>
        </w:rPr>
        <w:t xml:space="preserve">airflow </w:t>
      </w:r>
      <w:r w:rsidRPr="00A977AC">
        <w:rPr>
          <w:b/>
        </w:rPr>
        <w:t xml:space="preserve">restriction and </w:t>
      </w:r>
      <w:r w:rsidR="00C47A1A">
        <w:rPr>
          <w:b/>
        </w:rPr>
        <w:t xml:space="preserve">air </w:t>
      </w:r>
      <w:r w:rsidRPr="00A977AC">
        <w:rPr>
          <w:b/>
        </w:rPr>
        <w:t xml:space="preserve">leakage should be accounted for in the energy consumption of </w:t>
      </w:r>
      <w:r w:rsidR="005C2E52">
        <w:rPr>
          <w:b/>
        </w:rPr>
        <w:t>residential forced air system blower fans</w:t>
      </w:r>
      <w:r w:rsidRPr="00A977AC">
        <w:rPr>
          <w:b/>
        </w:rPr>
        <w:t>. DOE should consider employing the following test methodology</w:t>
      </w:r>
      <w:r w:rsidR="00D063F2">
        <w:rPr>
          <w:b/>
        </w:rPr>
        <w:t xml:space="preserve"> to generate </w:t>
      </w:r>
      <w:r w:rsidR="00C47A1A">
        <w:rPr>
          <w:b/>
        </w:rPr>
        <w:t>energy efficiency coefficient</w:t>
      </w:r>
      <w:r w:rsidR="005C2E52">
        <w:rPr>
          <w:b/>
        </w:rPr>
        <w:t>(s)</w:t>
      </w:r>
      <w:r w:rsidR="00C47A1A">
        <w:rPr>
          <w:b/>
        </w:rPr>
        <w:t xml:space="preserve"> that is applied to the Furnace Fan Efficiency metric to appropriately deduce its value.</w:t>
      </w:r>
    </w:p>
    <w:p w:rsidR="00B875CF" w:rsidRDefault="00B875CF" w:rsidP="00B875CF"/>
    <w:p w:rsidR="00871D7F" w:rsidRDefault="005C2E52" w:rsidP="00B875CF">
      <w:pPr>
        <w:autoSpaceDE w:val="0"/>
        <w:autoSpaceDN w:val="0"/>
        <w:adjustRightInd w:val="0"/>
      </w:pPr>
      <w:r>
        <w:t xml:space="preserve">For the purposes of this procedure the word furnace </w:t>
      </w:r>
      <w:r w:rsidR="00871D7F">
        <w:t>is broadly defined as:</w:t>
      </w:r>
    </w:p>
    <w:p w:rsidR="00D063F2" w:rsidRDefault="00D063F2" w:rsidP="00B875CF">
      <w:pPr>
        <w:autoSpaceDE w:val="0"/>
        <w:autoSpaceDN w:val="0"/>
        <w:adjustRightInd w:val="0"/>
      </w:pPr>
    </w:p>
    <w:p w:rsidR="00D063F2" w:rsidRPr="00D063F2" w:rsidRDefault="00871D7F" w:rsidP="00871D7F">
      <w:pPr>
        <w:tabs>
          <w:tab w:val="left" w:pos="720"/>
        </w:tabs>
        <w:autoSpaceDE w:val="0"/>
        <w:autoSpaceDN w:val="0"/>
        <w:adjustRightInd w:val="0"/>
        <w:ind w:left="720"/>
        <w:rPr>
          <w:rFonts w:ascii="Melior" w:eastAsiaTheme="minorHAnsi" w:hAnsi="Melior" w:cs="Melior"/>
          <w:sz w:val="22"/>
          <w:szCs w:val="18"/>
        </w:rPr>
      </w:pPr>
      <w:r w:rsidRPr="00D063F2">
        <w:rPr>
          <w:rFonts w:ascii="Melior" w:eastAsiaTheme="minorHAnsi" w:hAnsi="Melior" w:cs="Melior"/>
          <w:sz w:val="22"/>
          <w:szCs w:val="18"/>
        </w:rPr>
        <w:t xml:space="preserve">These include products that use electricity for the purposes of circulating air through duct work, hereinafter referred to as ‘‘residential furnace fans’’ or simply ‘‘furnace fans,’’ the subject of today’s notice. (42 </w:t>
      </w:r>
      <w:proofErr w:type="gramStart"/>
      <w:r w:rsidRPr="00D063F2">
        <w:rPr>
          <w:rFonts w:ascii="Melior" w:eastAsiaTheme="minorHAnsi" w:hAnsi="Melior" w:cs="Melior"/>
          <w:sz w:val="22"/>
          <w:szCs w:val="18"/>
        </w:rPr>
        <w:t>U.S.C.6295(</w:t>
      </w:r>
      <w:proofErr w:type="gramEnd"/>
      <w:r w:rsidRPr="00D063F2">
        <w:rPr>
          <w:rFonts w:ascii="Melior" w:eastAsiaTheme="minorHAnsi" w:hAnsi="Melior" w:cs="Melior"/>
          <w:sz w:val="22"/>
          <w:szCs w:val="18"/>
        </w:rPr>
        <w:t>f)(4)(D)).</w:t>
      </w:r>
    </w:p>
    <w:p w:rsidR="005C2E52" w:rsidRDefault="00871D7F" w:rsidP="00871D7F">
      <w:pPr>
        <w:tabs>
          <w:tab w:val="left" w:pos="720"/>
        </w:tabs>
        <w:autoSpaceDE w:val="0"/>
        <w:autoSpaceDN w:val="0"/>
        <w:adjustRightInd w:val="0"/>
        <w:ind w:left="720"/>
      </w:pPr>
      <w:r>
        <w:t xml:space="preserve"> </w:t>
      </w:r>
      <w:r w:rsidR="005C2E52">
        <w:t xml:space="preserve"> </w:t>
      </w:r>
    </w:p>
    <w:p w:rsidR="00A977AC" w:rsidRDefault="00C36F77" w:rsidP="00B875CF">
      <w:pPr>
        <w:autoSpaceDE w:val="0"/>
        <w:autoSpaceDN w:val="0"/>
        <w:adjustRightInd w:val="0"/>
        <w:rPr>
          <w:rFonts w:eastAsiaTheme="minorHAnsi"/>
        </w:rPr>
      </w:pPr>
      <w:r>
        <w:t xml:space="preserve">With this in mind DOE should make sure that the test procedure </w:t>
      </w:r>
      <w:r w:rsidR="00D063F2">
        <w:t xml:space="preserve">is </w:t>
      </w:r>
      <w:r>
        <w:t xml:space="preserve">comprehensive.  </w:t>
      </w:r>
      <w:r w:rsidR="006A0973">
        <w:t>Concern</w:t>
      </w:r>
      <w:r w:rsidR="00D063F2">
        <w:t>ing</w:t>
      </w:r>
      <w:r w:rsidR="006A0973">
        <w:t xml:space="preserve"> airflow restriction</w:t>
      </w:r>
      <w:r w:rsidR="00D063F2">
        <w:t>,</w:t>
      </w:r>
      <w:r w:rsidR="006A0973">
        <w:t xml:space="preserve"> r</w:t>
      </w:r>
      <w:r w:rsidR="00B875CF">
        <w:t xml:space="preserve">esults from </w:t>
      </w:r>
      <w:r w:rsidR="00C47A1A">
        <w:t xml:space="preserve">a </w:t>
      </w:r>
      <w:r w:rsidR="00B875CF">
        <w:t>study by PG&amp;E</w:t>
      </w:r>
      <w:r w:rsidR="00C47A1A">
        <w:t xml:space="preserve"> and Lawrence Be</w:t>
      </w:r>
      <w:r w:rsidR="00D063F2">
        <w:t xml:space="preserve">rkeley National Laboratory indicate </w:t>
      </w:r>
      <w:r w:rsidR="00B875CF">
        <w:t xml:space="preserve">that the dominant air handler used </w:t>
      </w:r>
      <w:r w:rsidR="00AD1249">
        <w:t xml:space="preserve">in </w:t>
      </w:r>
      <w:r w:rsidR="00B875CF">
        <w:t>today</w:t>
      </w:r>
      <w:r w:rsidR="00AD1249">
        <w:t>’s residential market</w:t>
      </w:r>
      <w:r w:rsidR="00B875CF">
        <w:t xml:space="preserve"> is a permanent split capacity (PSC) motor with forward inclined blade blower wheels (Lutz &amp; Walker 2005). </w:t>
      </w:r>
      <w:r w:rsidR="002932C1">
        <w:t xml:space="preserve"> </w:t>
      </w:r>
      <w:r w:rsidR="00B875CF">
        <w:rPr>
          <w:rFonts w:eastAsiaTheme="minorHAnsi"/>
        </w:rPr>
        <w:t>The housing has one opening on each side with the direct drive motor located in</w:t>
      </w:r>
      <w:r w:rsidR="00C47A1A">
        <w:rPr>
          <w:rFonts w:eastAsiaTheme="minorHAnsi"/>
        </w:rPr>
        <w:t>side the blower wheel</w:t>
      </w:r>
      <w:r w:rsidR="00B875CF">
        <w:rPr>
          <w:rFonts w:eastAsiaTheme="minorHAnsi"/>
        </w:rPr>
        <w:t xml:space="preserve"> and a rectangular discharge. This side entry means that the air flow pattern inside the air handler cabinet is </w:t>
      </w:r>
      <w:r w:rsidR="00EF7713">
        <w:rPr>
          <w:rFonts w:eastAsiaTheme="minorHAnsi"/>
        </w:rPr>
        <w:t>pulled</w:t>
      </w:r>
      <w:r w:rsidR="00C47A1A">
        <w:rPr>
          <w:rFonts w:eastAsiaTheme="minorHAnsi"/>
        </w:rPr>
        <w:t xml:space="preserve"> through the narrow gap between the intake to the blower and the cabinet</w:t>
      </w:r>
      <w:r w:rsidR="00D063F2">
        <w:rPr>
          <w:rFonts w:eastAsiaTheme="minorHAnsi"/>
        </w:rPr>
        <w:t xml:space="preserve">, </w:t>
      </w:r>
      <w:r w:rsidR="00EF7713">
        <w:rPr>
          <w:rFonts w:eastAsiaTheme="minorHAnsi"/>
        </w:rPr>
        <w:t xml:space="preserve">followed by a </w:t>
      </w:r>
      <w:r w:rsidR="00B875CF">
        <w:rPr>
          <w:rFonts w:eastAsiaTheme="minorHAnsi"/>
        </w:rPr>
        <w:t>90</w:t>
      </w:r>
      <w:r w:rsidR="00B875CF">
        <w:rPr>
          <w:rFonts w:ascii="Symbol" w:eastAsiaTheme="minorHAnsi" w:hAnsi="Symbol" w:cs="Symbol"/>
        </w:rPr>
        <w:t></w:t>
      </w:r>
      <w:r w:rsidR="00EF7713">
        <w:rPr>
          <w:rFonts w:ascii="Symbol" w:eastAsiaTheme="minorHAnsi" w:hAnsi="Symbol" w:cs="Symbol"/>
        </w:rPr>
        <w:t></w:t>
      </w:r>
      <w:proofErr w:type="spellStart"/>
      <w:r w:rsidR="00EF7713" w:rsidRPr="00D063F2">
        <w:rPr>
          <w:rFonts w:eastAsiaTheme="minorHAnsi"/>
        </w:rPr>
        <w:t>turn</w:t>
      </w:r>
      <w:r w:rsidR="00B875CF">
        <w:rPr>
          <w:rFonts w:ascii="Symbol" w:eastAsiaTheme="minorHAnsi" w:hAnsi="Symbol" w:cs="Symbol"/>
        </w:rPr>
        <w:t></w:t>
      </w:r>
      <w:r w:rsidR="00B875CF">
        <w:rPr>
          <w:rFonts w:eastAsiaTheme="minorHAnsi"/>
        </w:rPr>
        <w:t>to</w:t>
      </w:r>
      <w:proofErr w:type="spellEnd"/>
      <w:r w:rsidR="00B875CF">
        <w:rPr>
          <w:rFonts w:eastAsiaTheme="minorHAnsi"/>
        </w:rPr>
        <w:t xml:space="preserve"> enter the blower wheel. Given this well documented effect, we believe this should be accounted for in the test procedure </w:t>
      </w:r>
      <w:r w:rsidR="00B875CF">
        <w:t>(Lutz &amp; Walker 2005)</w:t>
      </w:r>
      <w:r w:rsidR="00B875CF">
        <w:rPr>
          <w:rFonts w:eastAsiaTheme="minorHAnsi"/>
        </w:rPr>
        <w:t xml:space="preserve">. </w:t>
      </w:r>
    </w:p>
    <w:p w:rsidR="006A0973" w:rsidRDefault="006A0973" w:rsidP="00B875CF">
      <w:pPr>
        <w:autoSpaceDE w:val="0"/>
        <w:autoSpaceDN w:val="0"/>
        <w:adjustRightInd w:val="0"/>
        <w:rPr>
          <w:rFonts w:eastAsiaTheme="minorHAnsi"/>
        </w:rPr>
      </w:pPr>
    </w:p>
    <w:p w:rsidR="006A0973" w:rsidRDefault="006A0973" w:rsidP="00B875CF">
      <w:pPr>
        <w:autoSpaceDE w:val="0"/>
        <w:autoSpaceDN w:val="0"/>
        <w:adjustRightInd w:val="0"/>
        <w:rPr>
          <w:rFonts w:eastAsiaTheme="minorHAnsi"/>
        </w:rPr>
      </w:pPr>
      <w:r>
        <w:rPr>
          <w:rFonts w:eastAsiaTheme="minorHAnsi"/>
        </w:rPr>
        <w:t>Air leakage is covered by the ASHRAE Standard 193-P, November 6, 2009.  DOE should use this standard to test</w:t>
      </w:r>
      <w:r w:rsidR="005C2E52">
        <w:rPr>
          <w:rFonts w:eastAsiaTheme="minorHAnsi"/>
        </w:rPr>
        <w:t xml:space="preserve"> cabinet leakage and develop a metric that captures the energy penalty incurred by leakage.  Of concern must be the location of the furnace/heat pump cabinet which can vary from being a basement, interior, garage, or attic.</w:t>
      </w:r>
    </w:p>
    <w:p w:rsidR="00A977AC" w:rsidRDefault="00A977AC" w:rsidP="00B875CF">
      <w:pPr>
        <w:autoSpaceDE w:val="0"/>
        <w:autoSpaceDN w:val="0"/>
        <w:adjustRightInd w:val="0"/>
        <w:rPr>
          <w:rFonts w:eastAsiaTheme="minorHAnsi"/>
        </w:rPr>
      </w:pPr>
    </w:p>
    <w:p w:rsidR="00B875CF" w:rsidRPr="00A977AC" w:rsidRDefault="00AF0160" w:rsidP="00A977AC">
      <w:pPr>
        <w:pStyle w:val="ListParagraph"/>
        <w:numPr>
          <w:ilvl w:val="0"/>
          <w:numId w:val="5"/>
        </w:numPr>
        <w:autoSpaceDE w:val="0"/>
        <w:autoSpaceDN w:val="0"/>
        <w:adjustRightInd w:val="0"/>
        <w:rPr>
          <w:rFonts w:eastAsiaTheme="minorHAnsi"/>
          <w:b/>
        </w:rPr>
      </w:pPr>
      <w:bookmarkStart w:id="0" w:name="navigation"/>
      <w:bookmarkEnd w:id="0"/>
      <w:r w:rsidRPr="00A977AC">
        <w:rPr>
          <w:rFonts w:eastAsiaTheme="minorHAnsi"/>
          <w:b/>
        </w:rPr>
        <w:t xml:space="preserve">We recommend that true power factor </w:t>
      </w:r>
      <w:r w:rsidR="008866A3" w:rsidRPr="00A977AC">
        <w:rPr>
          <w:rFonts w:eastAsiaTheme="minorHAnsi"/>
          <w:b/>
        </w:rPr>
        <w:t xml:space="preserve">and harmonic distortion </w:t>
      </w:r>
      <w:r w:rsidRPr="00A977AC">
        <w:rPr>
          <w:rFonts w:eastAsiaTheme="minorHAnsi"/>
          <w:b/>
        </w:rPr>
        <w:t>be measured and evaluated</w:t>
      </w:r>
      <w:r w:rsidR="00156C71" w:rsidRPr="00A977AC">
        <w:rPr>
          <w:rFonts w:eastAsiaTheme="minorHAnsi"/>
          <w:b/>
        </w:rPr>
        <w:t xml:space="preserve"> in the test procedure</w:t>
      </w:r>
      <w:r w:rsidR="00C36F77">
        <w:rPr>
          <w:rFonts w:eastAsiaTheme="minorHAnsi"/>
          <w:b/>
        </w:rPr>
        <w:t xml:space="preserve"> and that DOE set a minimum standard for each.  </w:t>
      </w:r>
    </w:p>
    <w:p w:rsidR="00AF0160" w:rsidRDefault="00AF0160" w:rsidP="00B875CF">
      <w:pPr>
        <w:autoSpaceDE w:val="0"/>
        <w:autoSpaceDN w:val="0"/>
        <w:adjustRightInd w:val="0"/>
        <w:rPr>
          <w:rFonts w:eastAsiaTheme="minorHAnsi"/>
        </w:rPr>
      </w:pPr>
    </w:p>
    <w:p w:rsidR="00AF0160" w:rsidRDefault="000863FA" w:rsidP="00B875CF">
      <w:pPr>
        <w:autoSpaceDE w:val="0"/>
        <w:autoSpaceDN w:val="0"/>
        <w:adjustRightInd w:val="0"/>
        <w:rPr>
          <w:rFonts w:eastAsiaTheme="minorHAnsi"/>
        </w:rPr>
      </w:pPr>
      <w:r>
        <w:rPr>
          <w:rFonts w:eastAsiaTheme="minorHAnsi"/>
        </w:rPr>
        <w:t>The most prevalent furnace fan/motor combinations have</w:t>
      </w:r>
      <w:r w:rsidR="00AF0160">
        <w:rPr>
          <w:rFonts w:eastAsiaTheme="minorHAnsi"/>
        </w:rPr>
        <w:t xml:space="preserve"> power factor less than one</w:t>
      </w:r>
      <w:r>
        <w:rPr>
          <w:rFonts w:eastAsiaTheme="minorHAnsi"/>
        </w:rPr>
        <w:t>. P</w:t>
      </w:r>
      <w:r w:rsidR="00C36F77">
        <w:rPr>
          <w:rFonts w:eastAsiaTheme="minorHAnsi"/>
        </w:rPr>
        <w:t>S</w:t>
      </w:r>
      <w:r>
        <w:rPr>
          <w:rFonts w:eastAsiaTheme="minorHAnsi"/>
        </w:rPr>
        <w:t xml:space="preserve">C motors range between 0.7 – 0.91 for power factor, and </w:t>
      </w:r>
      <w:r w:rsidR="00C36F77">
        <w:rPr>
          <w:rFonts w:eastAsiaTheme="minorHAnsi"/>
        </w:rPr>
        <w:t>E</w:t>
      </w:r>
      <w:r>
        <w:rPr>
          <w:rFonts w:eastAsiaTheme="minorHAnsi"/>
        </w:rPr>
        <w:t>CM motors average around 0.65 for power factor. This</w:t>
      </w:r>
      <w:r w:rsidR="00AF0160">
        <w:rPr>
          <w:rFonts w:eastAsiaTheme="minorHAnsi"/>
        </w:rPr>
        <w:t xml:space="preserve"> increases generation and transmission costs</w:t>
      </w:r>
      <w:r w:rsidR="00A977AC">
        <w:rPr>
          <w:rFonts w:eastAsiaTheme="minorHAnsi"/>
        </w:rPr>
        <w:t xml:space="preserve"> and reduces power quality</w:t>
      </w:r>
      <w:r w:rsidR="00AF0160">
        <w:rPr>
          <w:rFonts w:eastAsiaTheme="minorHAnsi"/>
        </w:rPr>
        <w:t xml:space="preserve"> for customers. Moreover, given the energy draw from these pr</w:t>
      </w:r>
      <w:r w:rsidR="00A977AC">
        <w:rPr>
          <w:rFonts w:eastAsiaTheme="minorHAnsi"/>
        </w:rPr>
        <w:t>oducts, monitoring power factor and total harmonic distortion are</w:t>
      </w:r>
      <w:r w:rsidR="00AF0160">
        <w:rPr>
          <w:rFonts w:eastAsiaTheme="minorHAnsi"/>
        </w:rPr>
        <w:t xml:space="preserve"> particularly important, and if regulated in the standards rulemaking, could increase energy savings</w:t>
      </w:r>
      <w:r w:rsidR="00156C71">
        <w:rPr>
          <w:rFonts w:eastAsiaTheme="minorHAnsi"/>
        </w:rPr>
        <w:t xml:space="preserve"> and reduce societal cost</w:t>
      </w:r>
      <w:r w:rsidR="00AF0160">
        <w:rPr>
          <w:rFonts w:eastAsiaTheme="minorHAnsi"/>
        </w:rPr>
        <w:t xml:space="preserve">.  </w:t>
      </w:r>
    </w:p>
    <w:p w:rsidR="00A977AC" w:rsidRDefault="00A977AC" w:rsidP="00A977AC">
      <w:pPr>
        <w:autoSpaceDE w:val="0"/>
        <w:autoSpaceDN w:val="0"/>
        <w:adjustRightInd w:val="0"/>
        <w:rPr>
          <w:rFonts w:eastAsiaTheme="minorHAnsi"/>
        </w:rPr>
      </w:pPr>
    </w:p>
    <w:p w:rsidR="00156C71" w:rsidRPr="00A977AC" w:rsidRDefault="00A977AC" w:rsidP="00A977AC">
      <w:pPr>
        <w:pStyle w:val="ListParagraph"/>
        <w:numPr>
          <w:ilvl w:val="0"/>
          <w:numId w:val="5"/>
        </w:numPr>
        <w:autoSpaceDE w:val="0"/>
        <w:autoSpaceDN w:val="0"/>
        <w:adjustRightInd w:val="0"/>
        <w:rPr>
          <w:rFonts w:eastAsiaTheme="minorHAnsi"/>
          <w:b/>
        </w:rPr>
      </w:pPr>
      <w:r w:rsidRPr="00A977AC">
        <w:rPr>
          <w:rFonts w:eastAsiaTheme="minorHAnsi"/>
          <w:b/>
        </w:rPr>
        <w:lastRenderedPageBreak/>
        <w:t xml:space="preserve"> In order to increase the transparency of a chosen methodology, we urge DOE to provide analytical support </w:t>
      </w:r>
      <w:r w:rsidR="0016724F" w:rsidRPr="00A977AC">
        <w:rPr>
          <w:rFonts w:eastAsiaTheme="minorHAnsi"/>
          <w:b/>
        </w:rPr>
        <w:t xml:space="preserve">to show whatever methodology </w:t>
      </w:r>
      <w:r w:rsidRPr="00A977AC">
        <w:rPr>
          <w:rFonts w:eastAsiaTheme="minorHAnsi"/>
          <w:b/>
        </w:rPr>
        <w:t xml:space="preserve">is chosen </w:t>
      </w:r>
      <w:r w:rsidR="0016724F" w:rsidRPr="00A977AC">
        <w:rPr>
          <w:rFonts w:eastAsiaTheme="minorHAnsi"/>
          <w:b/>
        </w:rPr>
        <w:t xml:space="preserve">reflects laboratory measurements within 5 %. </w:t>
      </w:r>
    </w:p>
    <w:p w:rsidR="00156C71" w:rsidRDefault="00156C71" w:rsidP="00B875CF">
      <w:pPr>
        <w:autoSpaceDE w:val="0"/>
        <w:autoSpaceDN w:val="0"/>
        <w:adjustRightInd w:val="0"/>
        <w:rPr>
          <w:rFonts w:eastAsiaTheme="minorHAnsi"/>
        </w:rPr>
      </w:pPr>
    </w:p>
    <w:p w:rsidR="006655B3" w:rsidRPr="00A977AC" w:rsidRDefault="00D934CF" w:rsidP="00A977AC">
      <w:pPr>
        <w:pStyle w:val="ListParagraph"/>
        <w:numPr>
          <w:ilvl w:val="0"/>
          <w:numId w:val="5"/>
        </w:numPr>
        <w:autoSpaceDE w:val="0"/>
        <w:autoSpaceDN w:val="0"/>
        <w:adjustRightInd w:val="0"/>
        <w:rPr>
          <w:b/>
          <w:noProof/>
        </w:rPr>
      </w:pPr>
      <w:r w:rsidRPr="00A977AC">
        <w:rPr>
          <w:b/>
          <w:noProof/>
        </w:rPr>
        <w:t>We recom</w:t>
      </w:r>
      <w:r w:rsidR="006655B3" w:rsidRPr="00A977AC">
        <w:rPr>
          <w:b/>
          <w:noProof/>
        </w:rPr>
        <w:t>mend tha</w:t>
      </w:r>
      <w:r w:rsidR="004D467E" w:rsidRPr="00A977AC">
        <w:rPr>
          <w:b/>
          <w:noProof/>
        </w:rPr>
        <w:t>t DOE use three-dimensionsal (3D)</w:t>
      </w:r>
      <w:r w:rsidR="006655B3" w:rsidRPr="00A977AC">
        <w:rPr>
          <w:b/>
          <w:noProof/>
        </w:rPr>
        <w:t xml:space="preserve"> </w:t>
      </w:r>
      <w:r w:rsidR="00C36F77">
        <w:rPr>
          <w:b/>
          <w:noProof/>
        </w:rPr>
        <w:t xml:space="preserve">graphs </w:t>
      </w:r>
      <w:r w:rsidR="006655B3" w:rsidRPr="00A977AC">
        <w:rPr>
          <w:b/>
          <w:noProof/>
        </w:rPr>
        <w:t xml:space="preserve"> to more accurately </w:t>
      </w:r>
      <w:r w:rsidR="00A977AC">
        <w:rPr>
          <w:b/>
          <w:noProof/>
        </w:rPr>
        <w:t>inform the test procedure methodology and to enhance stakeholder understanding</w:t>
      </w:r>
      <w:r w:rsidR="00C36F77">
        <w:rPr>
          <w:b/>
          <w:noProof/>
        </w:rPr>
        <w:t>.  Examples are shown below</w:t>
      </w:r>
      <w:r w:rsidR="00A977AC">
        <w:rPr>
          <w:b/>
          <w:noProof/>
        </w:rPr>
        <w:t xml:space="preserve">. </w:t>
      </w:r>
      <w:r w:rsidR="006655B3" w:rsidRPr="00A977AC">
        <w:rPr>
          <w:b/>
          <w:noProof/>
        </w:rPr>
        <w:t xml:space="preserve"> </w:t>
      </w:r>
    </w:p>
    <w:p w:rsidR="00D063F2" w:rsidRDefault="00D063F2" w:rsidP="00D063F2">
      <w:pPr>
        <w:rPr>
          <w:color w:val="1F497D"/>
        </w:rPr>
      </w:pPr>
    </w:p>
    <w:p w:rsidR="00D063F2" w:rsidRPr="00D063F2" w:rsidRDefault="00D063F2" w:rsidP="00D063F2">
      <w:r w:rsidRPr="00D063F2">
        <w:rPr>
          <w:i/>
        </w:rPr>
        <w:t>Robert’s input:</w:t>
      </w:r>
      <w:r w:rsidRPr="00D063F2">
        <w:t xml:space="preserve"> If we were to recommend a 3D surface plot, then I would stand by the version that I’ve done before, which is power as a function of outlet static pressure and airflow.  The problem with a surface plot is that it implies that the fan can operate anywhere on the surface, when in fact it is typically along specific  curves fixed by the distinct fan setpoints. For standard PSC motors, this is a speed setting; for ECMs it’s a torque or airflow </w:t>
      </w:r>
      <w:proofErr w:type="spellStart"/>
      <w:r w:rsidRPr="00D063F2">
        <w:t>setpoint</w:t>
      </w:r>
      <w:proofErr w:type="spellEnd"/>
      <w:r w:rsidRPr="00D063F2">
        <w:t>. The figures below show the curves for these two types of motors on the same fan and furnace, both as surface plots and following the chart recommendation from ANSI/AMCA-210, which plots parameters of interest against just airflow.  This chart can get confusing if many parameters are included, along with the different fan setpoints.</w:t>
      </w:r>
    </w:p>
    <w:p w:rsidR="00D063F2" w:rsidRPr="00D063F2" w:rsidRDefault="00D063F2" w:rsidP="00D063F2">
      <w:pPr>
        <w:autoSpaceDE w:val="0"/>
        <w:autoSpaceDN w:val="0"/>
        <w:adjustRightInd w:val="0"/>
      </w:pPr>
    </w:p>
    <w:p w:rsidR="00D063F2" w:rsidRPr="00D063F2" w:rsidRDefault="00D063F2" w:rsidP="00D063F2">
      <w:pPr>
        <w:autoSpaceDE w:val="0"/>
        <w:autoSpaceDN w:val="0"/>
        <w:adjustRightInd w:val="0"/>
        <w:rPr>
          <w:noProof/>
        </w:rPr>
      </w:pPr>
      <w:proofErr w:type="gramStart"/>
      <w:r w:rsidRPr="00D063F2">
        <w:t>Figure 1.</w:t>
      </w:r>
      <w:proofErr w:type="gramEnd"/>
    </w:p>
    <w:p w:rsidR="00D063F2" w:rsidRPr="00D063F2" w:rsidRDefault="00D063F2" w:rsidP="00D063F2">
      <w:pPr>
        <w:autoSpaceDE w:val="0"/>
        <w:autoSpaceDN w:val="0"/>
        <w:adjustRightInd w:val="0"/>
        <w:ind w:left="360"/>
        <w:rPr>
          <w:rFonts w:eastAsiaTheme="minorHAnsi"/>
        </w:rPr>
      </w:pPr>
      <w:r>
        <w:rPr>
          <w:noProof/>
        </w:rPr>
        <w:drawing>
          <wp:inline distT="0" distB="0" distL="0" distR="0" wp14:anchorId="45FD0E6A" wp14:editId="181EC7A3">
            <wp:extent cx="5943600" cy="424243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42435"/>
                    </a:xfrm>
                    <a:prstGeom prst="rect">
                      <a:avLst/>
                    </a:prstGeom>
                    <a:noFill/>
                  </pic:spPr>
                </pic:pic>
              </a:graphicData>
            </a:graphic>
          </wp:inline>
        </w:drawing>
      </w:r>
    </w:p>
    <w:p w:rsidR="00D063F2" w:rsidRPr="00D063F2" w:rsidRDefault="00D063F2" w:rsidP="00D063F2">
      <w:pPr>
        <w:autoSpaceDE w:val="0"/>
        <w:autoSpaceDN w:val="0"/>
        <w:adjustRightInd w:val="0"/>
        <w:ind w:left="360"/>
        <w:rPr>
          <w:rFonts w:eastAsiaTheme="minorHAnsi"/>
        </w:rPr>
      </w:pPr>
      <w:proofErr w:type="gramStart"/>
      <w:r w:rsidRPr="00D063F2">
        <w:rPr>
          <w:rFonts w:eastAsiaTheme="minorHAnsi"/>
        </w:rPr>
        <w:t>Figure 2.</w:t>
      </w:r>
      <w:proofErr w:type="gramEnd"/>
      <w:r w:rsidRPr="00D063F2">
        <w:rPr>
          <w:rFonts w:eastAsiaTheme="minorHAnsi"/>
        </w:rPr>
        <w:t xml:space="preserve"> </w:t>
      </w:r>
    </w:p>
    <w:p w:rsidR="00D063F2" w:rsidRPr="00D063F2" w:rsidRDefault="00D063F2" w:rsidP="00D063F2">
      <w:pPr>
        <w:autoSpaceDE w:val="0"/>
        <w:autoSpaceDN w:val="0"/>
        <w:adjustRightInd w:val="0"/>
        <w:ind w:left="360"/>
        <w:rPr>
          <w:rFonts w:eastAsiaTheme="minorHAnsi"/>
        </w:rPr>
      </w:pPr>
      <w:r>
        <w:rPr>
          <w:noProof/>
        </w:rPr>
        <w:lastRenderedPageBreak/>
        <w:drawing>
          <wp:inline distT="0" distB="0" distL="0" distR="0" wp14:anchorId="0127664C" wp14:editId="5F8C303F">
            <wp:extent cx="5442788" cy="410244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42788" cy="4102443"/>
                    </a:xfrm>
                    <a:prstGeom prst="rect">
                      <a:avLst/>
                    </a:prstGeom>
                  </pic:spPr>
                </pic:pic>
              </a:graphicData>
            </a:graphic>
          </wp:inline>
        </w:drawing>
      </w:r>
    </w:p>
    <w:p w:rsidR="00D063F2" w:rsidRPr="00D063F2" w:rsidRDefault="00D063F2" w:rsidP="00D063F2">
      <w:pPr>
        <w:autoSpaceDE w:val="0"/>
        <w:autoSpaceDN w:val="0"/>
        <w:adjustRightInd w:val="0"/>
        <w:ind w:left="360"/>
        <w:rPr>
          <w:rFonts w:eastAsiaTheme="minorHAnsi"/>
        </w:rPr>
      </w:pPr>
      <w:proofErr w:type="gramStart"/>
      <w:r w:rsidRPr="00D063F2">
        <w:rPr>
          <w:rFonts w:eastAsiaTheme="minorHAnsi"/>
        </w:rPr>
        <w:t>Figure 3.</w:t>
      </w:r>
      <w:proofErr w:type="gramEnd"/>
      <w:r w:rsidRPr="00D063F2">
        <w:rPr>
          <w:rFonts w:eastAsiaTheme="minorHAnsi"/>
        </w:rPr>
        <w:t xml:space="preserve"> </w:t>
      </w:r>
    </w:p>
    <w:p w:rsidR="00D063F2" w:rsidRPr="00D063F2" w:rsidRDefault="00D063F2" w:rsidP="00D063F2">
      <w:pPr>
        <w:autoSpaceDE w:val="0"/>
        <w:autoSpaceDN w:val="0"/>
        <w:adjustRightInd w:val="0"/>
        <w:ind w:left="360"/>
        <w:rPr>
          <w:rFonts w:eastAsiaTheme="minorHAnsi"/>
        </w:rPr>
      </w:pPr>
      <w:r>
        <w:rPr>
          <w:noProof/>
        </w:rPr>
        <w:drawing>
          <wp:inline distT="0" distB="0" distL="0" distR="0" wp14:anchorId="6311A6AB" wp14:editId="3733E7CE">
            <wp:extent cx="4465214" cy="37935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68263" cy="3796114"/>
                    </a:xfrm>
                    <a:prstGeom prst="rect">
                      <a:avLst/>
                    </a:prstGeom>
                  </pic:spPr>
                </pic:pic>
              </a:graphicData>
            </a:graphic>
          </wp:inline>
        </w:drawing>
      </w:r>
    </w:p>
    <w:p w:rsidR="00D063F2" w:rsidRPr="00D063F2" w:rsidRDefault="00D063F2" w:rsidP="00D063F2">
      <w:pPr>
        <w:autoSpaceDE w:val="0"/>
        <w:autoSpaceDN w:val="0"/>
        <w:adjustRightInd w:val="0"/>
        <w:ind w:left="360"/>
        <w:rPr>
          <w:rFonts w:eastAsiaTheme="minorHAnsi"/>
        </w:rPr>
      </w:pPr>
      <w:proofErr w:type="gramStart"/>
      <w:r w:rsidRPr="00D063F2">
        <w:rPr>
          <w:rFonts w:eastAsiaTheme="minorHAnsi"/>
        </w:rPr>
        <w:lastRenderedPageBreak/>
        <w:t>Figure 4.</w:t>
      </w:r>
      <w:proofErr w:type="gramEnd"/>
      <w:r w:rsidRPr="00D063F2">
        <w:rPr>
          <w:rFonts w:eastAsiaTheme="minorHAnsi"/>
        </w:rPr>
        <w:t xml:space="preserve"> </w:t>
      </w:r>
    </w:p>
    <w:p w:rsidR="00D063F2" w:rsidRPr="00D063F2" w:rsidRDefault="00D063F2" w:rsidP="00D063F2">
      <w:pPr>
        <w:autoSpaceDE w:val="0"/>
        <w:autoSpaceDN w:val="0"/>
        <w:adjustRightInd w:val="0"/>
        <w:ind w:left="360"/>
        <w:rPr>
          <w:rFonts w:eastAsiaTheme="minorHAnsi"/>
        </w:rPr>
      </w:pPr>
      <w:r>
        <w:rPr>
          <w:noProof/>
        </w:rPr>
        <w:drawing>
          <wp:inline distT="0" distB="0" distL="0" distR="0" wp14:anchorId="17891138" wp14:editId="00664007">
            <wp:extent cx="5943600" cy="4599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599305"/>
                    </a:xfrm>
                    <a:prstGeom prst="rect">
                      <a:avLst/>
                    </a:prstGeom>
                  </pic:spPr>
                </pic:pic>
              </a:graphicData>
            </a:graphic>
          </wp:inline>
        </w:drawing>
      </w:r>
    </w:p>
    <w:p w:rsidR="00D934CF" w:rsidRDefault="00D934CF" w:rsidP="00B875CF">
      <w:pPr>
        <w:autoSpaceDE w:val="0"/>
        <w:autoSpaceDN w:val="0"/>
        <w:adjustRightInd w:val="0"/>
        <w:rPr>
          <w:rFonts w:eastAsiaTheme="minorHAnsi"/>
        </w:rPr>
      </w:pPr>
    </w:p>
    <w:p w:rsidR="00697F1D" w:rsidRDefault="00697F1D" w:rsidP="00B875CF">
      <w:pPr>
        <w:autoSpaceDE w:val="0"/>
        <w:autoSpaceDN w:val="0"/>
        <w:adjustRightInd w:val="0"/>
        <w:rPr>
          <w:rFonts w:eastAsiaTheme="minorHAnsi"/>
        </w:rPr>
      </w:pPr>
    </w:p>
    <w:p w:rsidR="00697F1D" w:rsidRDefault="00697F1D" w:rsidP="00B875CF">
      <w:pPr>
        <w:autoSpaceDE w:val="0"/>
        <w:autoSpaceDN w:val="0"/>
        <w:adjustRightInd w:val="0"/>
        <w:rPr>
          <w:rFonts w:eastAsiaTheme="minorHAnsi"/>
        </w:rPr>
      </w:pPr>
    </w:p>
    <w:p w:rsidR="007A3793" w:rsidRPr="000F1B2B" w:rsidRDefault="000F1B2B" w:rsidP="000F1B2B">
      <w:pPr>
        <w:pStyle w:val="ListParagraph"/>
        <w:numPr>
          <w:ilvl w:val="0"/>
          <w:numId w:val="5"/>
        </w:numPr>
        <w:autoSpaceDE w:val="0"/>
        <w:autoSpaceDN w:val="0"/>
        <w:adjustRightInd w:val="0"/>
        <w:rPr>
          <w:rFonts w:eastAsiaTheme="minorHAnsi"/>
          <w:b/>
        </w:rPr>
      </w:pPr>
      <w:r>
        <w:rPr>
          <w:rFonts w:eastAsiaTheme="minorHAnsi"/>
          <w:b/>
        </w:rPr>
        <w:t xml:space="preserve"> </w:t>
      </w:r>
      <w:commentRangeStart w:id="1"/>
      <w:r w:rsidR="00A71324" w:rsidRPr="000F1B2B">
        <w:rPr>
          <w:rFonts w:eastAsiaTheme="minorHAnsi"/>
          <w:b/>
        </w:rPr>
        <w:t>DOE should evaluate whether the airflow control settings adequately address a growing market for variable speed fans</w:t>
      </w:r>
      <w:r w:rsidR="0066419E">
        <w:rPr>
          <w:rFonts w:eastAsiaTheme="minorHAnsi"/>
          <w:b/>
        </w:rPr>
        <w:t xml:space="preserve"> that work with</w:t>
      </w:r>
      <w:r w:rsidR="006A5E99">
        <w:rPr>
          <w:rFonts w:eastAsiaTheme="minorHAnsi"/>
          <w:b/>
        </w:rPr>
        <w:t xml:space="preserve"> the numerous</w:t>
      </w:r>
      <w:r w:rsidR="0066419E">
        <w:rPr>
          <w:rFonts w:eastAsiaTheme="minorHAnsi"/>
          <w:b/>
        </w:rPr>
        <w:t xml:space="preserve"> variable capacity burners and compressors</w:t>
      </w:r>
      <w:r w:rsidR="006A5E99">
        <w:rPr>
          <w:rFonts w:eastAsiaTheme="minorHAnsi"/>
          <w:b/>
        </w:rPr>
        <w:t xml:space="preserve"> appearing in the marketplace</w:t>
      </w:r>
      <w:r w:rsidR="00A71324" w:rsidRPr="000F1B2B">
        <w:rPr>
          <w:rFonts w:eastAsiaTheme="minorHAnsi"/>
          <w:b/>
        </w:rPr>
        <w:t>.</w:t>
      </w:r>
      <w:r w:rsidR="0066419E">
        <w:rPr>
          <w:rFonts w:eastAsiaTheme="minorHAnsi"/>
          <w:b/>
        </w:rPr>
        <w:t xml:space="preserve"> </w:t>
      </w:r>
      <w:commentRangeEnd w:id="1"/>
      <w:r w:rsidR="00A2236B">
        <w:rPr>
          <w:rStyle w:val="CommentReference"/>
        </w:rPr>
        <w:commentReference w:id="1"/>
      </w:r>
    </w:p>
    <w:p w:rsidR="00A71324" w:rsidRDefault="00A71324" w:rsidP="00B875CF">
      <w:pPr>
        <w:autoSpaceDE w:val="0"/>
        <w:autoSpaceDN w:val="0"/>
        <w:adjustRightInd w:val="0"/>
        <w:rPr>
          <w:rFonts w:eastAsiaTheme="minorHAnsi"/>
        </w:rPr>
      </w:pPr>
    </w:p>
    <w:p w:rsidR="007A3793" w:rsidRDefault="007A3793" w:rsidP="00B875CF">
      <w:pPr>
        <w:autoSpaceDE w:val="0"/>
        <w:autoSpaceDN w:val="0"/>
        <w:adjustRightInd w:val="0"/>
        <w:rPr>
          <w:rFonts w:eastAsiaTheme="minorHAnsi"/>
        </w:rPr>
      </w:pPr>
    </w:p>
    <w:p w:rsidR="007A3793" w:rsidRDefault="007A3793" w:rsidP="00B875CF">
      <w:pPr>
        <w:autoSpaceDE w:val="0"/>
        <w:autoSpaceDN w:val="0"/>
        <w:adjustRightInd w:val="0"/>
        <w:rPr>
          <w:rFonts w:eastAsiaTheme="minorHAnsi"/>
        </w:rPr>
      </w:pPr>
    </w:p>
    <w:p w:rsidR="00A71324" w:rsidRDefault="00A71324" w:rsidP="00B875CF">
      <w:pPr>
        <w:autoSpaceDE w:val="0"/>
        <w:autoSpaceDN w:val="0"/>
        <w:adjustRightInd w:val="0"/>
        <w:rPr>
          <w:rFonts w:eastAsiaTheme="minorHAnsi"/>
        </w:rPr>
      </w:pPr>
      <w:bookmarkStart w:id="2" w:name="_GoBack"/>
      <w:bookmarkEnd w:id="2"/>
    </w:p>
    <w:p w:rsidR="007A3793" w:rsidRDefault="007A3793" w:rsidP="00B875CF">
      <w:pPr>
        <w:autoSpaceDE w:val="0"/>
        <w:autoSpaceDN w:val="0"/>
        <w:adjustRightInd w:val="0"/>
        <w:rPr>
          <w:rFonts w:eastAsiaTheme="minorHAnsi"/>
        </w:rPr>
      </w:pPr>
    </w:p>
    <w:p w:rsidR="00BB373D" w:rsidRPr="000F1B2B" w:rsidRDefault="00FA30EA" w:rsidP="000F1B2B">
      <w:pPr>
        <w:pStyle w:val="ListParagraph"/>
        <w:numPr>
          <w:ilvl w:val="0"/>
          <w:numId w:val="5"/>
        </w:numPr>
        <w:autoSpaceDE w:val="0"/>
        <w:autoSpaceDN w:val="0"/>
        <w:adjustRightInd w:val="0"/>
        <w:rPr>
          <w:rFonts w:eastAsiaTheme="minorHAnsi"/>
          <w:b/>
        </w:rPr>
      </w:pPr>
      <w:r w:rsidRPr="000F1B2B">
        <w:rPr>
          <w:rFonts w:eastAsiaTheme="minorHAnsi"/>
          <w:b/>
        </w:rPr>
        <w:t>We recommend that DOE increase</w:t>
      </w:r>
      <w:r w:rsidR="007A3793" w:rsidRPr="000F1B2B">
        <w:rPr>
          <w:rFonts w:eastAsiaTheme="minorHAnsi"/>
          <w:b/>
        </w:rPr>
        <w:t xml:space="preserve"> the proposed external static pressure (ESP) values</w:t>
      </w:r>
      <w:r w:rsidR="005D3241" w:rsidRPr="000F1B2B">
        <w:rPr>
          <w:rFonts w:eastAsiaTheme="minorHAnsi"/>
          <w:b/>
        </w:rPr>
        <w:t xml:space="preserve"> so that consumers’ expectations of a product’s performance are more aligned with how these products perform in the field. </w:t>
      </w:r>
    </w:p>
    <w:p w:rsidR="005D3241" w:rsidRDefault="005D3241" w:rsidP="00B875CF">
      <w:pPr>
        <w:autoSpaceDE w:val="0"/>
        <w:autoSpaceDN w:val="0"/>
        <w:adjustRightInd w:val="0"/>
        <w:rPr>
          <w:rFonts w:eastAsiaTheme="minorHAnsi"/>
        </w:rPr>
      </w:pPr>
    </w:p>
    <w:p w:rsidR="005D3241" w:rsidRDefault="005D3241" w:rsidP="00B875CF">
      <w:pPr>
        <w:autoSpaceDE w:val="0"/>
        <w:autoSpaceDN w:val="0"/>
        <w:adjustRightInd w:val="0"/>
        <w:rPr>
          <w:rFonts w:eastAsiaTheme="minorHAnsi"/>
        </w:rPr>
      </w:pPr>
    </w:p>
    <w:p w:rsidR="00BB373D" w:rsidRDefault="00BB373D" w:rsidP="00B875CF">
      <w:pPr>
        <w:autoSpaceDE w:val="0"/>
        <w:autoSpaceDN w:val="0"/>
        <w:adjustRightInd w:val="0"/>
        <w:rPr>
          <w:rFonts w:eastAsiaTheme="minorHAnsi"/>
        </w:rPr>
      </w:pPr>
      <w:r>
        <w:rPr>
          <w:rFonts w:eastAsiaTheme="minorHAnsi"/>
        </w:rPr>
        <w:t xml:space="preserve"> </w:t>
      </w:r>
    </w:p>
    <w:p w:rsidR="006A5E99" w:rsidRDefault="007A3793" w:rsidP="00B875CF">
      <w:pPr>
        <w:autoSpaceDE w:val="0"/>
        <w:autoSpaceDN w:val="0"/>
        <w:adjustRightInd w:val="0"/>
        <w:rPr>
          <w:rFonts w:eastAsiaTheme="minorHAnsi"/>
        </w:rPr>
      </w:pPr>
      <w:r>
        <w:rPr>
          <w:noProof/>
        </w:rPr>
        <w:lastRenderedPageBreak/>
        <w:drawing>
          <wp:inline distT="0" distB="0" distL="0" distR="0" wp14:anchorId="481DFBF3" wp14:editId="52BCF982">
            <wp:extent cx="5943600" cy="104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048385"/>
                    </a:xfrm>
                    <a:prstGeom prst="rect">
                      <a:avLst/>
                    </a:prstGeom>
                  </pic:spPr>
                </pic:pic>
              </a:graphicData>
            </a:graphic>
          </wp:inline>
        </w:drawing>
      </w:r>
    </w:p>
    <w:p w:rsidR="006A5E99" w:rsidRDefault="006A5E99" w:rsidP="00B875CF">
      <w:pPr>
        <w:autoSpaceDE w:val="0"/>
        <w:autoSpaceDN w:val="0"/>
        <w:adjustRightInd w:val="0"/>
        <w:rPr>
          <w:rFonts w:eastAsiaTheme="minorHAnsi"/>
        </w:rPr>
      </w:pPr>
    </w:p>
    <w:p w:rsidR="006A5E99" w:rsidRDefault="006A5E99" w:rsidP="00B875CF">
      <w:pPr>
        <w:autoSpaceDE w:val="0"/>
        <w:autoSpaceDN w:val="0"/>
        <w:adjustRightInd w:val="0"/>
        <w:rPr>
          <w:rFonts w:eastAsiaTheme="minorHAnsi"/>
        </w:rPr>
      </w:pPr>
      <w:r>
        <w:rPr>
          <w:rFonts w:eastAsiaTheme="minorHAnsi"/>
        </w:rPr>
        <w:t>In a recent study for the California Energy Commission (</w:t>
      </w:r>
      <w:r w:rsidR="006F0F9B">
        <w:rPr>
          <w:rFonts w:eastAsiaTheme="minorHAnsi"/>
        </w:rPr>
        <w:t>Proctor Engineering Group Ltd., 2011) produced the results shown in the “Figure 13” inserted below.  The details of the tests that are used to produce the averages are displayed in “Figure 14”.</w:t>
      </w:r>
    </w:p>
    <w:p w:rsidR="006A5E99" w:rsidRDefault="006A5E99" w:rsidP="00B875CF">
      <w:pPr>
        <w:autoSpaceDE w:val="0"/>
        <w:autoSpaceDN w:val="0"/>
        <w:adjustRightInd w:val="0"/>
        <w:rPr>
          <w:rFonts w:eastAsiaTheme="minorHAnsi"/>
        </w:rPr>
      </w:pPr>
    </w:p>
    <w:p w:rsidR="006A5E99" w:rsidRDefault="006A5E99" w:rsidP="00B875CF">
      <w:pPr>
        <w:autoSpaceDE w:val="0"/>
        <w:autoSpaceDN w:val="0"/>
        <w:adjustRightInd w:val="0"/>
        <w:rPr>
          <w:rFonts w:eastAsiaTheme="minorHAnsi"/>
        </w:rPr>
      </w:pPr>
    </w:p>
    <w:p w:rsidR="006A5E99" w:rsidRDefault="006A5E99" w:rsidP="00B875CF">
      <w:pPr>
        <w:autoSpaceDE w:val="0"/>
        <w:autoSpaceDN w:val="0"/>
        <w:adjustRightInd w:val="0"/>
        <w:rPr>
          <w:rFonts w:eastAsiaTheme="minorHAnsi"/>
        </w:rPr>
      </w:pPr>
    </w:p>
    <w:p w:rsidR="006A5E99" w:rsidRDefault="006A5E99" w:rsidP="00B875CF">
      <w:pPr>
        <w:autoSpaceDE w:val="0"/>
        <w:autoSpaceDN w:val="0"/>
        <w:adjustRightInd w:val="0"/>
        <w:rPr>
          <w:rFonts w:eastAsiaTheme="minorHAnsi"/>
        </w:rPr>
      </w:pPr>
    </w:p>
    <w:p w:rsidR="006A5E99" w:rsidRDefault="006A5E99" w:rsidP="00B875CF">
      <w:pPr>
        <w:autoSpaceDE w:val="0"/>
        <w:autoSpaceDN w:val="0"/>
        <w:adjustRightInd w:val="0"/>
        <w:rPr>
          <w:rFonts w:eastAsiaTheme="minorHAnsi"/>
        </w:rPr>
      </w:pPr>
      <w:r w:rsidRPr="00D063F2">
        <w:rPr>
          <w:rFonts w:eastAsiaTheme="minorHAnsi"/>
          <w:noProof/>
        </w:rPr>
        <w:drawing>
          <wp:inline distT="0" distB="0" distL="0" distR="0" wp14:anchorId="4598BDE9" wp14:editId="0FBA7A74">
            <wp:extent cx="4145915" cy="26276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5915" cy="2627630"/>
                    </a:xfrm>
                    <a:prstGeom prst="rect">
                      <a:avLst/>
                    </a:prstGeom>
                    <a:noFill/>
                    <a:ln>
                      <a:noFill/>
                    </a:ln>
                  </pic:spPr>
                </pic:pic>
              </a:graphicData>
            </a:graphic>
          </wp:inline>
        </w:drawing>
      </w:r>
    </w:p>
    <w:p w:rsidR="006F0F9B" w:rsidRDefault="006F0F9B" w:rsidP="00B875CF">
      <w:pPr>
        <w:autoSpaceDE w:val="0"/>
        <w:autoSpaceDN w:val="0"/>
        <w:adjustRightInd w:val="0"/>
        <w:rPr>
          <w:rFonts w:eastAsiaTheme="minorHAnsi"/>
        </w:rPr>
      </w:pPr>
      <w:r w:rsidRPr="00D063F2">
        <w:rPr>
          <w:rFonts w:eastAsiaTheme="minorHAnsi"/>
          <w:noProof/>
        </w:rPr>
        <w:drawing>
          <wp:inline distT="0" distB="0" distL="0" distR="0" wp14:anchorId="7695169D" wp14:editId="50916E9C">
            <wp:extent cx="4065905" cy="2609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5905" cy="2609850"/>
                    </a:xfrm>
                    <a:prstGeom prst="rect">
                      <a:avLst/>
                    </a:prstGeom>
                    <a:noFill/>
                    <a:ln>
                      <a:noFill/>
                    </a:ln>
                  </pic:spPr>
                </pic:pic>
              </a:graphicData>
            </a:graphic>
          </wp:inline>
        </w:drawing>
      </w:r>
    </w:p>
    <w:p w:rsidR="006F0F9B" w:rsidRDefault="006F0F9B" w:rsidP="00B875CF">
      <w:pPr>
        <w:autoSpaceDE w:val="0"/>
        <w:autoSpaceDN w:val="0"/>
        <w:adjustRightInd w:val="0"/>
        <w:rPr>
          <w:rFonts w:eastAsiaTheme="minorHAnsi"/>
        </w:rPr>
      </w:pPr>
    </w:p>
    <w:p w:rsidR="006F0F9B" w:rsidRDefault="006F0F9B" w:rsidP="00B875CF">
      <w:pPr>
        <w:autoSpaceDE w:val="0"/>
        <w:autoSpaceDN w:val="0"/>
        <w:adjustRightInd w:val="0"/>
        <w:rPr>
          <w:rFonts w:eastAsiaTheme="minorHAnsi"/>
        </w:rPr>
      </w:pPr>
      <w:r>
        <w:rPr>
          <w:rFonts w:eastAsiaTheme="minorHAnsi"/>
        </w:rPr>
        <w:t>From this work it is clear that in California furnace fans in the cooling mode are working against much higher pressures that listed in the NOPR.  The average is about 0.85 IWC.</w:t>
      </w:r>
    </w:p>
    <w:p w:rsidR="00A2236B" w:rsidRDefault="00A2236B" w:rsidP="00B875CF">
      <w:pPr>
        <w:autoSpaceDE w:val="0"/>
        <w:autoSpaceDN w:val="0"/>
        <w:adjustRightInd w:val="0"/>
        <w:rPr>
          <w:rFonts w:eastAsiaTheme="minorHAnsi"/>
        </w:rPr>
      </w:pPr>
      <w:r>
        <w:rPr>
          <w:rFonts w:eastAsiaTheme="minorHAnsi"/>
        </w:rPr>
        <w:lastRenderedPageBreak/>
        <w:t xml:space="preserve">Link to study: </w:t>
      </w:r>
      <w:hyperlink r:id="rId15" w:history="1">
        <w:r>
          <w:rPr>
            <w:rStyle w:val="Hyperlink"/>
          </w:rPr>
          <w:t>www.energy.ca.gov/2012publications/CEC-500.../CEC-500-2012-062.pdf</w:t>
        </w:r>
      </w:hyperlink>
    </w:p>
    <w:p w:rsidR="006A5E99" w:rsidRPr="00BB373D" w:rsidRDefault="006A5E99" w:rsidP="00B875CF">
      <w:pPr>
        <w:autoSpaceDE w:val="0"/>
        <w:autoSpaceDN w:val="0"/>
        <w:adjustRightInd w:val="0"/>
        <w:rPr>
          <w:rFonts w:eastAsiaTheme="minorHAnsi"/>
        </w:rPr>
      </w:pPr>
    </w:p>
    <w:sectPr w:rsidR="006A5E99" w:rsidRPr="00BB373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anda Gonzalez" w:date="2012-06-13T17:38:00Z" w:initials="AG">
    <w:p w:rsidR="00A2236B" w:rsidRDefault="00A2236B">
      <w:pPr>
        <w:pStyle w:val="CommentText"/>
      </w:pPr>
      <w:r>
        <w:rPr>
          <w:rStyle w:val="CommentReference"/>
        </w:rPr>
        <w:annotationRef/>
      </w:r>
      <w:r>
        <w:t xml:space="preserve">Brian, I think we want to understand what DOE is doing to address this growing market.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elio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57F"/>
    <w:multiLevelType w:val="hybridMultilevel"/>
    <w:tmpl w:val="DFE86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24B17"/>
    <w:multiLevelType w:val="hybridMultilevel"/>
    <w:tmpl w:val="B57CE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E02DA"/>
    <w:multiLevelType w:val="multilevel"/>
    <w:tmpl w:val="4442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E3CF4"/>
    <w:multiLevelType w:val="hybridMultilevel"/>
    <w:tmpl w:val="6D409CA2"/>
    <w:lvl w:ilvl="0" w:tplc="2A381F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401FC"/>
    <w:multiLevelType w:val="hybridMultilevel"/>
    <w:tmpl w:val="371A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F3ED6"/>
    <w:multiLevelType w:val="hybridMultilevel"/>
    <w:tmpl w:val="E2DC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A01EB"/>
    <w:multiLevelType w:val="multilevel"/>
    <w:tmpl w:val="7230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25531"/>
    <w:multiLevelType w:val="hybridMultilevel"/>
    <w:tmpl w:val="59C6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C1"/>
    <w:rsid w:val="000863FA"/>
    <w:rsid w:val="000B15B2"/>
    <w:rsid w:val="000D6379"/>
    <w:rsid w:val="000F1B2B"/>
    <w:rsid w:val="00116FA9"/>
    <w:rsid w:val="00156C71"/>
    <w:rsid w:val="0016724F"/>
    <w:rsid w:val="002932C1"/>
    <w:rsid w:val="00313A2D"/>
    <w:rsid w:val="003F365E"/>
    <w:rsid w:val="004D467E"/>
    <w:rsid w:val="00532865"/>
    <w:rsid w:val="005C2E52"/>
    <w:rsid w:val="005D3241"/>
    <w:rsid w:val="0066419E"/>
    <w:rsid w:val="006655B3"/>
    <w:rsid w:val="00697F1D"/>
    <w:rsid w:val="006A0973"/>
    <w:rsid w:val="006A5E99"/>
    <w:rsid w:val="006C3BFC"/>
    <w:rsid w:val="006F0F9B"/>
    <w:rsid w:val="007161F8"/>
    <w:rsid w:val="007A3793"/>
    <w:rsid w:val="00871D7F"/>
    <w:rsid w:val="008866A3"/>
    <w:rsid w:val="00A2236B"/>
    <w:rsid w:val="00A71324"/>
    <w:rsid w:val="00A977AC"/>
    <w:rsid w:val="00AD1249"/>
    <w:rsid w:val="00AF0160"/>
    <w:rsid w:val="00B46477"/>
    <w:rsid w:val="00B563B8"/>
    <w:rsid w:val="00B875CF"/>
    <w:rsid w:val="00BB373D"/>
    <w:rsid w:val="00C36F77"/>
    <w:rsid w:val="00C47A1A"/>
    <w:rsid w:val="00D063F2"/>
    <w:rsid w:val="00D3291E"/>
    <w:rsid w:val="00D934CF"/>
    <w:rsid w:val="00E5366E"/>
    <w:rsid w:val="00EF7713"/>
    <w:rsid w:val="00FA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2C1"/>
    <w:rPr>
      <w:color w:val="0000FF" w:themeColor="hyperlink"/>
      <w:u w:val="single"/>
    </w:rPr>
  </w:style>
  <w:style w:type="paragraph" w:styleId="ListParagraph">
    <w:name w:val="List Paragraph"/>
    <w:basedOn w:val="Normal"/>
    <w:uiPriority w:val="34"/>
    <w:qFormat/>
    <w:rsid w:val="002932C1"/>
    <w:pPr>
      <w:ind w:left="720"/>
      <w:contextualSpacing/>
    </w:pPr>
  </w:style>
  <w:style w:type="character" w:styleId="CommentReference">
    <w:name w:val="annotation reference"/>
    <w:basedOn w:val="DefaultParagraphFont"/>
    <w:uiPriority w:val="99"/>
    <w:semiHidden/>
    <w:unhideWhenUsed/>
    <w:rsid w:val="00156C71"/>
    <w:rPr>
      <w:sz w:val="16"/>
      <w:szCs w:val="16"/>
    </w:rPr>
  </w:style>
  <w:style w:type="paragraph" w:styleId="CommentText">
    <w:name w:val="annotation text"/>
    <w:basedOn w:val="Normal"/>
    <w:link w:val="CommentTextChar"/>
    <w:uiPriority w:val="99"/>
    <w:semiHidden/>
    <w:unhideWhenUsed/>
    <w:rsid w:val="00156C71"/>
    <w:rPr>
      <w:sz w:val="20"/>
      <w:szCs w:val="20"/>
    </w:rPr>
  </w:style>
  <w:style w:type="character" w:customStyle="1" w:styleId="CommentTextChar">
    <w:name w:val="Comment Text Char"/>
    <w:basedOn w:val="DefaultParagraphFont"/>
    <w:link w:val="CommentText"/>
    <w:uiPriority w:val="99"/>
    <w:semiHidden/>
    <w:rsid w:val="00156C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6C71"/>
    <w:rPr>
      <w:b/>
      <w:bCs/>
    </w:rPr>
  </w:style>
  <w:style w:type="character" w:customStyle="1" w:styleId="CommentSubjectChar">
    <w:name w:val="Comment Subject Char"/>
    <w:basedOn w:val="CommentTextChar"/>
    <w:link w:val="CommentSubject"/>
    <w:uiPriority w:val="99"/>
    <w:semiHidden/>
    <w:rsid w:val="00156C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6C71"/>
    <w:rPr>
      <w:rFonts w:ascii="Tahoma" w:hAnsi="Tahoma" w:cs="Tahoma"/>
      <w:sz w:val="16"/>
      <w:szCs w:val="16"/>
    </w:rPr>
  </w:style>
  <w:style w:type="character" w:customStyle="1" w:styleId="BalloonTextChar">
    <w:name w:val="Balloon Text Char"/>
    <w:basedOn w:val="DefaultParagraphFont"/>
    <w:link w:val="BalloonText"/>
    <w:uiPriority w:val="99"/>
    <w:semiHidden/>
    <w:rsid w:val="00156C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2C1"/>
    <w:rPr>
      <w:color w:val="0000FF" w:themeColor="hyperlink"/>
      <w:u w:val="single"/>
    </w:rPr>
  </w:style>
  <w:style w:type="paragraph" w:styleId="ListParagraph">
    <w:name w:val="List Paragraph"/>
    <w:basedOn w:val="Normal"/>
    <w:uiPriority w:val="34"/>
    <w:qFormat/>
    <w:rsid w:val="002932C1"/>
    <w:pPr>
      <w:ind w:left="720"/>
      <w:contextualSpacing/>
    </w:pPr>
  </w:style>
  <w:style w:type="character" w:styleId="CommentReference">
    <w:name w:val="annotation reference"/>
    <w:basedOn w:val="DefaultParagraphFont"/>
    <w:uiPriority w:val="99"/>
    <w:semiHidden/>
    <w:unhideWhenUsed/>
    <w:rsid w:val="00156C71"/>
    <w:rPr>
      <w:sz w:val="16"/>
      <w:szCs w:val="16"/>
    </w:rPr>
  </w:style>
  <w:style w:type="paragraph" w:styleId="CommentText">
    <w:name w:val="annotation text"/>
    <w:basedOn w:val="Normal"/>
    <w:link w:val="CommentTextChar"/>
    <w:uiPriority w:val="99"/>
    <w:semiHidden/>
    <w:unhideWhenUsed/>
    <w:rsid w:val="00156C71"/>
    <w:rPr>
      <w:sz w:val="20"/>
      <w:szCs w:val="20"/>
    </w:rPr>
  </w:style>
  <w:style w:type="character" w:customStyle="1" w:styleId="CommentTextChar">
    <w:name w:val="Comment Text Char"/>
    <w:basedOn w:val="DefaultParagraphFont"/>
    <w:link w:val="CommentText"/>
    <w:uiPriority w:val="99"/>
    <w:semiHidden/>
    <w:rsid w:val="00156C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6C71"/>
    <w:rPr>
      <w:b/>
      <w:bCs/>
    </w:rPr>
  </w:style>
  <w:style w:type="character" w:customStyle="1" w:styleId="CommentSubjectChar">
    <w:name w:val="Comment Subject Char"/>
    <w:basedOn w:val="CommentTextChar"/>
    <w:link w:val="CommentSubject"/>
    <w:uiPriority w:val="99"/>
    <w:semiHidden/>
    <w:rsid w:val="00156C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6C71"/>
    <w:rPr>
      <w:rFonts w:ascii="Tahoma" w:hAnsi="Tahoma" w:cs="Tahoma"/>
      <w:sz w:val="16"/>
      <w:szCs w:val="16"/>
    </w:rPr>
  </w:style>
  <w:style w:type="character" w:customStyle="1" w:styleId="BalloonTextChar">
    <w:name w:val="Balloon Text Char"/>
    <w:basedOn w:val="DefaultParagraphFont"/>
    <w:link w:val="BalloonText"/>
    <w:uiPriority w:val="99"/>
    <w:semiHidden/>
    <w:rsid w:val="00156C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71323">
      <w:bodyDiv w:val="1"/>
      <w:marLeft w:val="0"/>
      <w:marRight w:val="0"/>
      <w:marTop w:val="0"/>
      <w:marBottom w:val="0"/>
      <w:divBdr>
        <w:top w:val="none" w:sz="0" w:space="0" w:color="auto"/>
        <w:left w:val="none" w:sz="0" w:space="0" w:color="auto"/>
        <w:bottom w:val="none" w:sz="0" w:space="0" w:color="auto"/>
        <w:right w:val="none" w:sz="0" w:space="0" w:color="auto"/>
      </w:divBdr>
      <w:divsChild>
        <w:div w:id="599485597">
          <w:marLeft w:val="0"/>
          <w:marRight w:val="0"/>
          <w:marTop w:val="0"/>
          <w:marBottom w:val="0"/>
          <w:divBdr>
            <w:top w:val="none" w:sz="0" w:space="0" w:color="auto"/>
            <w:left w:val="none" w:sz="0" w:space="0" w:color="auto"/>
            <w:bottom w:val="none" w:sz="0" w:space="0" w:color="auto"/>
            <w:right w:val="none" w:sz="0" w:space="0" w:color="auto"/>
          </w:divBdr>
          <w:divsChild>
            <w:div w:id="2011129364">
              <w:marLeft w:val="0"/>
              <w:marRight w:val="0"/>
              <w:marTop w:val="0"/>
              <w:marBottom w:val="0"/>
              <w:divBdr>
                <w:top w:val="none" w:sz="0" w:space="0" w:color="auto"/>
                <w:left w:val="none" w:sz="0" w:space="0" w:color="auto"/>
                <w:bottom w:val="none" w:sz="0" w:space="0" w:color="auto"/>
                <w:right w:val="none" w:sz="0" w:space="0" w:color="auto"/>
              </w:divBdr>
              <w:divsChild>
                <w:div w:id="1944726493">
                  <w:marLeft w:val="0"/>
                  <w:marRight w:val="0"/>
                  <w:marTop w:val="0"/>
                  <w:marBottom w:val="0"/>
                  <w:divBdr>
                    <w:top w:val="none" w:sz="0" w:space="0" w:color="auto"/>
                    <w:left w:val="none" w:sz="0" w:space="0" w:color="auto"/>
                    <w:bottom w:val="none" w:sz="0" w:space="0" w:color="auto"/>
                    <w:right w:val="none" w:sz="0" w:space="0" w:color="auto"/>
                  </w:divBdr>
                  <w:divsChild>
                    <w:div w:id="490563007">
                      <w:marLeft w:val="0"/>
                      <w:marRight w:val="0"/>
                      <w:marTop w:val="0"/>
                      <w:marBottom w:val="0"/>
                      <w:divBdr>
                        <w:top w:val="none" w:sz="0" w:space="0" w:color="auto"/>
                        <w:left w:val="none" w:sz="0" w:space="0" w:color="auto"/>
                        <w:bottom w:val="none" w:sz="0" w:space="0" w:color="auto"/>
                        <w:right w:val="none" w:sz="0" w:space="0" w:color="auto"/>
                      </w:divBdr>
                      <w:divsChild>
                        <w:div w:id="1946498483">
                          <w:marLeft w:val="0"/>
                          <w:marRight w:val="0"/>
                          <w:marTop w:val="0"/>
                          <w:marBottom w:val="0"/>
                          <w:divBdr>
                            <w:top w:val="none" w:sz="0" w:space="0" w:color="auto"/>
                            <w:left w:val="none" w:sz="0" w:space="0" w:color="auto"/>
                            <w:bottom w:val="none" w:sz="0" w:space="0" w:color="auto"/>
                            <w:right w:val="none" w:sz="0" w:space="0" w:color="auto"/>
                          </w:divBdr>
                        </w:div>
                        <w:div w:id="903373795">
                          <w:marLeft w:val="0"/>
                          <w:marRight w:val="0"/>
                          <w:marTop w:val="0"/>
                          <w:marBottom w:val="0"/>
                          <w:divBdr>
                            <w:top w:val="none" w:sz="0" w:space="0" w:color="auto"/>
                            <w:left w:val="none" w:sz="0" w:space="0" w:color="auto"/>
                            <w:bottom w:val="none" w:sz="0" w:space="0" w:color="auto"/>
                            <w:right w:val="none" w:sz="0" w:space="0" w:color="auto"/>
                          </w:divBdr>
                          <w:divsChild>
                            <w:div w:id="194511860">
                              <w:marLeft w:val="0"/>
                              <w:marRight w:val="0"/>
                              <w:marTop w:val="0"/>
                              <w:marBottom w:val="0"/>
                              <w:divBdr>
                                <w:top w:val="none" w:sz="0" w:space="0" w:color="auto"/>
                                <w:left w:val="none" w:sz="0" w:space="0" w:color="auto"/>
                                <w:bottom w:val="none" w:sz="0" w:space="0" w:color="auto"/>
                                <w:right w:val="none" w:sz="0" w:space="0" w:color="auto"/>
                              </w:divBdr>
                              <w:divsChild>
                                <w:div w:id="1770349572">
                                  <w:marLeft w:val="0"/>
                                  <w:marRight w:val="0"/>
                                  <w:marTop w:val="0"/>
                                  <w:marBottom w:val="0"/>
                                  <w:divBdr>
                                    <w:top w:val="none" w:sz="0" w:space="0" w:color="auto"/>
                                    <w:left w:val="none" w:sz="0" w:space="0" w:color="auto"/>
                                    <w:bottom w:val="none" w:sz="0" w:space="0" w:color="auto"/>
                                    <w:right w:val="none" w:sz="0" w:space="0" w:color="auto"/>
                                  </w:divBdr>
                                  <w:divsChild>
                                    <w:div w:id="454300529">
                                      <w:marLeft w:val="0"/>
                                      <w:marRight w:val="0"/>
                                      <w:marTop w:val="0"/>
                                      <w:marBottom w:val="0"/>
                                      <w:divBdr>
                                        <w:top w:val="none" w:sz="0" w:space="0" w:color="auto"/>
                                        <w:left w:val="none" w:sz="0" w:space="0" w:color="auto"/>
                                        <w:bottom w:val="none" w:sz="0" w:space="0" w:color="auto"/>
                                        <w:right w:val="none" w:sz="0" w:space="0" w:color="auto"/>
                                      </w:divBdr>
                                      <w:divsChild>
                                        <w:div w:id="944457717">
                                          <w:marLeft w:val="0"/>
                                          <w:marRight w:val="0"/>
                                          <w:marTop w:val="0"/>
                                          <w:marBottom w:val="0"/>
                                          <w:divBdr>
                                            <w:top w:val="none" w:sz="0" w:space="0" w:color="auto"/>
                                            <w:left w:val="none" w:sz="0" w:space="0" w:color="auto"/>
                                            <w:bottom w:val="none" w:sz="0" w:space="0" w:color="auto"/>
                                            <w:right w:val="none" w:sz="0" w:space="0" w:color="auto"/>
                                          </w:divBdr>
                                        </w:div>
                                      </w:divsChild>
                                    </w:div>
                                    <w:div w:id="1424522502">
                                      <w:marLeft w:val="0"/>
                                      <w:marRight w:val="0"/>
                                      <w:marTop w:val="0"/>
                                      <w:marBottom w:val="0"/>
                                      <w:divBdr>
                                        <w:top w:val="none" w:sz="0" w:space="0" w:color="auto"/>
                                        <w:left w:val="none" w:sz="0" w:space="0" w:color="auto"/>
                                        <w:bottom w:val="none" w:sz="0" w:space="0" w:color="auto"/>
                                        <w:right w:val="none" w:sz="0" w:space="0" w:color="auto"/>
                                      </w:divBdr>
                                      <w:divsChild>
                                        <w:div w:id="16006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79916">
                  <w:marLeft w:val="0"/>
                  <w:marRight w:val="0"/>
                  <w:marTop w:val="0"/>
                  <w:marBottom w:val="0"/>
                  <w:divBdr>
                    <w:top w:val="none" w:sz="0" w:space="0" w:color="auto"/>
                    <w:left w:val="none" w:sz="0" w:space="0" w:color="auto"/>
                    <w:bottom w:val="none" w:sz="0" w:space="0" w:color="auto"/>
                    <w:right w:val="none" w:sz="0" w:space="0" w:color="auto"/>
                  </w:divBdr>
                  <w:divsChild>
                    <w:div w:id="511264776">
                      <w:marLeft w:val="0"/>
                      <w:marRight w:val="0"/>
                      <w:marTop w:val="0"/>
                      <w:marBottom w:val="0"/>
                      <w:divBdr>
                        <w:top w:val="none" w:sz="0" w:space="0" w:color="auto"/>
                        <w:left w:val="none" w:sz="0" w:space="0" w:color="auto"/>
                        <w:bottom w:val="none" w:sz="0" w:space="0" w:color="auto"/>
                        <w:right w:val="none" w:sz="0" w:space="0" w:color="auto"/>
                      </w:divBdr>
                      <w:divsChild>
                        <w:div w:id="853148473">
                          <w:marLeft w:val="0"/>
                          <w:marRight w:val="0"/>
                          <w:marTop w:val="0"/>
                          <w:marBottom w:val="0"/>
                          <w:divBdr>
                            <w:top w:val="none" w:sz="0" w:space="0" w:color="auto"/>
                            <w:left w:val="none" w:sz="0" w:space="0" w:color="auto"/>
                            <w:bottom w:val="none" w:sz="0" w:space="0" w:color="auto"/>
                            <w:right w:val="none" w:sz="0" w:space="0" w:color="auto"/>
                          </w:divBdr>
                          <w:divsChild>
                            <w:div w:id="1431005149">
                              <w:marLeft w:val="0"/>
                              <w:marRight w:val="0"/>
                              <w:marTop w:val="0"/>
                              <w:marBottom w:val="0"/>
                              <w:divBdr>
                                <w:top w:val="none" w:sz="0" w:space="0" w:color="auto"/>
                                <w:left w:val="none" w:sz="0" w:space="0" w:color="auto"/>
                                <w:bottom w:val="none" w:sz="0" w:space="0" w:color="auto"/>
                                <w:right w:val="none" w:sz="0" w:space="0" w:color="auto"/>
                              </w:divBdr>
                              <w:divsChild>
                                <w:div w:id="18988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gpo.gov/fdsys/pkg/FR-2012-05-15/pdf/2012-10993.pdf" TargetMode="Externa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energy.ca.gov/2012publications/CEC-500.../CEC-500-2012-062.pdf" TargetMode="Externa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88CA7-FAB1-4086-A791-A274F28A3506}"/>
</file>

<file path=customXml/itemProps2.xml><?xml version="1.0" encoding="utf-8"?>
<ds:datastoreItem xmlns:ds="http://schemas.openxmlformats.org/officeDocument/2006/customXml" ds:itemID="{F2086D58-0F20-4C81-81C4-8192EFCDB9E9}"/>
</file>

<file path=customXml/itemProps3.xml><?xml version="1.0" encoding="utf-8"?>
<ds:datastoreItem xmlns:ds="http://schemas.openxmlformats.org/officeDocument/2006/customXml" ds:itemID="{025A7A35-315A-4BA0-B9B3-57F97A1ED382}"/>
</file>

<file path=docProps/app.xml><?xml version="1.0" encoding="utf-8"?>
<Properties xmlns="http://schemas.openxmlformats.org/officeDocument/2006/extended-properties" xmlns:vt="http://schemas.openxmlformats.org/officeDocument/2006/docPropsVTypes">
  <Template>Normal.dotm</Template>
  <TotalTime>1</TotalTime>
  <Pages>6</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Gonzalez</dc:creator>
  <cp:lastModifiedBy>Marshall B. Hunt</cp:lastModifiedBy>
  <cp:revision>2</cp:revision>
  <dcterms:created xsi:type="dcterms:W3CDTF">2012-07-13T16:49:00Z</dcterms:created>
  <dcterms:modified xsi:type="dcterms:W3CDTF">2012-07-13T16:49:00Z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